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南京市工业和信息化局2021年政府信息公开工作年度报告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年，我局以习近平新时代中国特色社会主义思想为指导，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《中华人民共和国政府信息公开条例》和《南京市政府信息公开规定》要求，围绕全年政府信息公开要点，扎实做好政府信息公开工作，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现将有关情况报告如下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（一）进一步覆盖信息公开领域。20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年，我局在“中国南京”网站和门户网站主动公开政府工作信息和相关政策、信息公开制度、信息公开指南、信息公开年报等，实现了公开目录全覆盖，并及时处理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局长</w:t>
      </w:r>
      <w:r>
        <w:rPr>
          <w:rFonts w:hint="eastAsia" w:ascii="仿宋" w:hAnsi="仿宋" w:eastAsia="仿宋" w:cs="仿宋"/>
          <w:sz w:val="32"/>
          <w:szCs w:val="32"/>
        </w:rPr>
        <w:t>信箱、投诉咨询和建议。信息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发布总数1245</w:t>
      </w:r>
      <w:r>
        <w:rPr>
          <w:rFonts w:hint="eastAsia" w:ascii="仿宋" w:hAnsi="仿宋" w:eastAsia="仿宋" w:cs="仿宋"/>
          <w:sz w:val="32"/>
          <w:szCs w:val="32"/>
        </w:rPr>
        <w:t>条，信息公开电子化率100%，其中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动态信息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277</w:t>
      </w:r>
      <w:r>
        <w:rPr>
          <w:rFonts w:hint="eastAsia" w:ascii="仿宋" w:hAnsi="仿宋" w:eastAsia="仿宋" w:cs="仿宋"/>
          <w:sz w:val="32"/>
          <w:szCs w:val="32"/>
        </w:rPr>
        <w:t>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工信专栏信息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297条、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政务公开</w:t>
      </w:r>
      <w:r>
        <w:rPr>
          <w:rFonts w:hint="eastAsia" w:ascii="仿宋" w:hAnsi="仿宋" w:eastAsia="仿宋" w:cs="仿宋"/>
          <w:sz w:val="32"/>
          <w:szCs w:val="32"/>
        </w:rPr>
        <w:t>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248条、专题专栏信息423条。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市工信局门户网站独立用户访问总量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361157个，网站总访问量749546次。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全年信</w:t>
      </w:r>
      <w:r>
        <w:rPr>
          <w:rFonts w:hint="eastAsia" w:ascii="仿宋" w:hAnsi="仿宋" w:eastAsia="仿宋" w:cs="仿宋"/>
          <w:sz w:val="32"/>
          <w:szCs w:val="32"/>
        </w:rPr>
        <w:t>息推送保障“中国南京”网位列全市部门前列，并根据全市部署要求，着重做好重大项目信息公开、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行政执法信息公示、</w:t>
      </w:r>
      <w:r>
        <w:rPr>
          <w:rFonts w:hint="eastAsia" w:ascii="仿宋" w:hAnsi="仿宋" w:eastAsia="仿宋" w:cs="仿宋"/>
          <w:sz w:val="32"/>
          <w:szCs w:val="32"/>
        </w:rPr>
        <w:t>“三公”经费和专项经费等信息公开。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加强落实</w:t>
      </w:r>
      <w:r>
        <w:rPr>
          <w:rFonts w:hint="eastAsia" w:ascii="仿宋" w:hAnsi="仿宋" w:eastAsia="仿宋" w:cs="仿宋"/>
          <w:sz w:val="32"/>
          <w:szCs w:val="32"/>
        </w:rPr>
        <w:t>组织保障与制度规范。为增强信息公开规范性、提高公开信息质量，我局积极落实市政府办公厅关于加强政务公开工作的相关要求，组织业务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及意识形态</w:t>
      </w:r>
      <w:r>
        <w:rPr>
          <w:rFonts w:hint="eastAsia" w:ascii="仿宋" w:hAnsi="仿宋" w:eastAsia="仿宋" w:cs="仿宋"/>
          <w:sz w:val="32"/>
          <w:szCs w:val="32"/>
        </w:rPr>
        <w:t>培训学习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并积极参加</w:t>
      </w:r>
      <w:r>
        <w:rPr>
          <w:rFonts w:hint="eastAsia" w:ascii="仿宋" w:hAnsi="仿宋" w:eastAsia="仿宋" w:cs="仿宋"/>
          <w:sz w:val="32"/>
          <w:szCs w:val="32"/>
        </w:rPr>
        <w:t>市政府办公厅举办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全市政务公开工作培训交流会。推进实施《南京市工业和信息化局信息公开办法（试行）》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《南京市工业和信息化局信息公开指南》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和《</w:t>
      </w:r>
      <w:r>
        <w:rPr>
          <w:rFonts w:hint="eastAsia" w:ascii="仿宋" w:hAnsi="仿宋" w:eastAsia="仿宋" w:cs="仿宋"/>
          <w:sz w:val="32"/>
          <w:szCs w:val="32"/>
        </w:rPr>
        <w:t>关于做好局门户网站和微信公众号内容保障工作的通知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明确由局宣传教育处委派专人负责信息公开工作，对局机关处室每月原创供稿量提出明确要求，并明确了对外宣传信息的内部审批流程，</w:t>
      </w:r>
      <w:r>
        <w:rPr>
          <w:rFonts w:hint="eastAsia" w:ascii="仿宋" w:hAnsi="仿宋" w:eastAsia="仿宋" w:cs="仿宋"/>
          <w:sz w:val="32"/>
          <w:szCs w:val="32"/>
        </w:rPr>
        <w:t>推送的每一篇原创信息，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实行</w:t>
      </w:r>
      <w:r>
        <w:rPr>
          <w:rFonts w:hint="eastAsia" w:ascii="仿宋" w:hAnsi="仿宋" w:eastAsia="仿宋" w:cs="仿宋"/>
          <w:sz w:val="32"/>
          <w:szCs w:val="32"/>
        </w:rPr>
        <w:t>供稿处室、宣传教育处、办公室、供稿处室分管局长等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个环节审核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，做好网络信息安全及舆情管控工作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，切实落实好网上意识形态各项工作要求，</w:t>
      </w:r>
      <w:r>
        <w:rPr>
          <w:rFonts w:hint="eastAsia" w:ascii="仿宋" w:hAnsi="仿宋" w:eastAsia="仿宋" w:cs="仿宋"/>
          <w:sz w:val="32"/>
          <w:szCs w:val="32"/>
        </w:rPr>
        <w:t>不断完善信息公开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流程。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）进一步突出信息公开重点</w:t>
      </w:r>
      <w:r>
        <w:rPr>
          <w:rFonts w:hint="eastAsia" w:ascii="仿宋" w:hAnsi="仿宋" w:eastAsia="仿宋" w:cs="仿宋"/>
          <w:sz w:val="32"/>
          <w:szCs w:val="32"/>
        </w:rPr>
        <w:t>。根据市委市政府交办的各项工作任务及年度政务公开工作要点，我局继续聚焦工业和信息化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领域</w:t>
      </w:r>
      <w:r>
        <w:rPr>
          <w:rFonts w:hint="eastAsia" w:ascii="仿宋" w:hAnsi="仿宋" w:eastAsia="仿宋" w:cs="仿宋"/>
          <w:sz w:val="32"/>
          <w:szCs w:val="32"/>
        </w:rPr>
        <w:t>的各项重点工作和任务，围绕工业经济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运行监测协调</w:t>
      </w:r>
      <w:r>
        <w:rPr>
          <w:rFonts w:hint="eastAsia" w:ascii="仿宋" w:hAnsi="仿宋" w:eastAsia="仿宋" w:cs="仿宋"/>
          <w:sz w:val="32"/>
          <w:szCs w:val="32"/>
        </w:rPr>
        <w:t>、工业项目投资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技改</w:t>
      </w:r>
      <w:r>
        <w:rPr>
          <w:rFonts w:hint="eastAsia" w:ascii="仿宋" w:hAnsi="仿宋" w:eastAsia="仿宋" w:cs="仿宋"/>
          <w:sz w:val="32"/>
          <w:szCs w:val="32"/>
        </w:rPr>
        <w:t>、优势产业地标打造、持续优化营商环境、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数字经济发展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绿色制造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惠企政策宣传</w:t>
      </w:r>
      <w:r>
        <w:rPr>
          <w:rFonts w:hint="eastAsia" w:ascii="仿宋" w:hAnsi="仿宋" w:eastAsia="仿宋" w:cs="仿宋"/>
          <w:sz w:val="32"/>
          <w:szCs w:val="32"/>
        </w:rPr>
        <w:t>、工业互联网建设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、世界智能制造大会筹备举办</w:t>
      </w:r>
      <w:r>
        <w:rPr>
          <w:rFonts w:hint="eastAsia" w:ascii="仿宋" w:hAnsi="仿宋" w:eastAsia="仿宋" w:cs="仿宋"/>
          <w:sz w:val="32"/>
          <w:szCs w:val="32"/>
        </w:rPr>
        <w:t>等重点工作，扎实推进政务公开。全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年通过各类渠道发布全市工业经济、信息化、中小企业和民营经济发展</w:t>
      </w:r>
      <w:r>
        <w:rPr>
          <w:rFonts w:hint="eastAsia" w:ascii="仿宋" w:hAnsi="仿宋" w:eastAsia="仿宋" w:cs="仿宋"/>
          <w:sz w:val="32"/>
          <w:szCs w:val="32"/>
        </w:rPr>
        <w:t>重点工作情况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重要会议精神、产业发展政策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发布</w:t>
      </w:r>
      <w:r>
        <w:rPr>
          <w:rFonts w:hint="eastAsia" w:ascii="仿宋" w:hAnsi="仿宋" w:eastAsia="仿宋" w:cs="仿宋"/>
          <w:sz w:val="32"/>
          <w:szCs w:val="32"/>
        </w:rPr>
        <w:t>及解读、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企业服务、安全生产</w:t>
      </w:r>
      <w:r>
        <w:rPr>
          <w:rFonts w:hint="eastAsia" w:ascii="仿宋" w:hAnsi="仿宋" w:eastAsia="仿宋" w:cs="仿宋"/>
          <w:sz w:val="32"/>
          <w:szCs w:val="32"/>
        </w:rPr>
        <w:t>等各类重点工作政务信息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余条。全局各处室及直属单位积极通过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本局</w:t>
      </w:r>
      <w:r>
        <w:rPr>
          <w:rFonts w:hint="eastAsia" w:ascii="仿宋" w:hAnsi="仿宋" w:eastAsia="仿宋" w:cs="仿宋"/>
          <w:sz w:val="32"/>
          <w:szCs w:val="32"/>
        </w:rPr>
        <w:t>门户网站、微信等全媒体平台渠道，及时准确做好工作动态、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工信专栏</w:t>
      </w:r>
      <w:r>
        <w:rPr>
          <w:rFonts w:hint="eastAsia" w:ascii="仿宋" w:hAnsi="仿宋" w:eastAsia="仿宋" w:cs="仿宋"/>
          <w:sz w:val="32"/>
          <w:szCs w:val="32"/>
        </w:rPr>
        <w:t>、政务公开事项等内容的更新，进一步完善了部门协同、上下联动的良性机制。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</w:p>
    <w:tbl>
      <w:tblPr>
        <w:tblStyle w:val="4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195.866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</w:p>
    <w:tbl>
      <w:tblPr>
        <w:tblStyle w:val="4"/>
        <w:tblW w:w="97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14</w:t>
            </w:r>
            <w:bookmarkEnd w:id="0"/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</w:p>
    <w:tbl>
      <w:tblPr>
        <w:tblStyle w:val="4"/>
        <w:tblW w:w="97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0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目前，政府信息公开主要在网站信息公开范围、稿件内容审核等方面存在不足，考虑从以下两个方面作进一步的改进：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（一）拓展网站信息公开范围。在继续做好网站政府信息公开的基础上，不断拓展发布信息种类，重点加强对省、市范围内的各类惠企政策进行搜集发布，提升政务公开整体水平。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（二）进一步加强稿件内容审核。在稿件发布前对全文进行检查，防止错别字、敏感词及严重表述错误出现，定期对已发布内容进行复查，及时完成整改。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本单位不存在收取信息处理费情况。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ind w:firstLine="4800" w:firstLineChars="15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南京市工业和信息化局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default" w:ascii="微软雅黑" w:hAnsi="微软雅黑" w:eastAsia="微软雅黑" w:cs="微软雅黑"/>
          <w:b/>
          <w:i w:val="0"/>
          <w:caps w:val="0"/>
          <w:color w:val="3F3F3F"/>
          <w:spacing w:val="3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2022年1月12日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29BE"/>
    <w:rsid w:val="06A0349B"/>
    <w:rsid w:val="08FF7592"/>
    <w:rsid w:val="09166AA6"/>
    <w:rsid w:val="0DEB76F2"/>
    <w:rsid w:val="17C7534F"/>
    <w:rsid w:val="19FD4A34"/>
    <w:rsid w:val="1BD63C31"/>
    <w:rsid w:val="23CE4B1A"/>
    <w:rsid w:val="2401590A"/>
    <w:rsid w:val="264D568A"/>
    <w:rsid w:val="334F0416"/>
    <w:rsid w:val="384635F3"/>
    <w:rsid w:val="3B893F22"/>
    <w:rsid w:val="46B856BC"/>
    <w:rsid w:val="4D7251AF"/>
    <w:rsid w:val="4DC367B6"/>
    <w:rsid w:val="4E353893"/>
    <w:rsid w:val="4FA72771"/>
    <w:rsid w:val="54624338"/>
    <w:rsid w:val="5F5463A1"/>
    <w:rsid w:val="61FC50DF"/>
    <w:rsid w:val="623B2CF9"/>
    <w:rsid w:val="69715E72"/>
    <w:rsid w:val="6D765FAB"/>
    <w:rsid w:val="6F516166"/>
    <w:rsid w:val="6F642E88"/>
    <w:rsid w:val="740B3F17"/>
    <w:rsid w:val="7A2F7467"/>
    <w:rsid w:val="7E0F0586"/>
    <w:rsid w:val="7EE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2022-01-04T07:16:00Z</dcterms:created>
  <dc:creator>Administrator</dc:creator>
  <cp:lastModifiedBy>陈昌芳</cp:lastModifiedBy>
  <dcterms:modified xsi:type="dcterms:W3CDTF">2022-01-24T01:57:22Z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  <property fmtid="{D5CDD505-2E9C-101B-9397-08002B2CF9AE}" pid="3" name="ICV">
    <vt:lpwstr>81F350864FB647E2A708398666710E58</vt:lpwstr>
  </property>
</Properties>
</file>