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rPr>
        <w:t>南京市</w:t>
      </w:r>
      <w:r>
        <w:rPr>
          <w:rFonts w:hint="eastAsia" w:ascii="方正小标宋_GBK" w:hAnsi="方正小标宋_GBK" w:eastAsia="方正小标宋_GBK" w:cs="方正小标宋_GBK"/>
          <w:sz w:val="44"/>
          <w:szCs w:val="44"/>
          <w:lang w:val="en-US" w:eastAsia="zh-CN"/>
        </w:rPr>
        <w:t>工业和信息化局</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2019年政府信息公开工作年度报告</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仿宋_GBK" w:hAnsi="方正仿宋_GBK" w:eastAsia="方正仿宋_GBK" w:cs="方正仿宋_GBK"/>
          <w:sz w:val="32"/>
          <w:szCs w:val="32"/>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5"/>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2019 年，我局以习近平新时代中国特色社会主义思想为指导，</w:t>
      </w:r>
      <w:r>
        <w:rPr>
          <w:rFonts w:hint="eastAsia" w:ascii="方正仿宋_GBK" w:hAnsi="方正仿宋_GBK" w:eastAsia="方正仿宋_GBK" w:cs="方正仿宋_GBK"/>
          <w:sz w:val="32"/>
          <w:szCs w:val="32"/>
          <w:lang w:val="en-US" w:eastAsia="zh-CN"/>
        </w:rPr>
        <w:t>按照</w:t>
      </w:r>
      <w:r>
        <w:rPr>
          <w:rFonts w:hint="eastAsia" w:ascii="方正仿宋_GBK" w:hAnsi="方正仿宋_GBK" w:eastAsia="方正仿宋_GBK" w:cs="方正仿宋_GBK"/>
          <w:sz w:val="32"/>
          <w:szCs w:val="32"/>
        </w:rPr>
        <w:t>《中华人民共和国政府信息公开条例》和《南京市政府信息公开规定》要求，</w:t>
      </w:r>
      <w:r>
        <w:rPr>
          <w:rFonts w:hint="eastAsia" w:ascii="方正仿宋_GBK" w:hAnsi="方正仿宋_GBK" w:eastAsia="方正仿宋_GBK" w:cs="方正仿宋_GBK"/>
          <w:sz w:val="32"/>
          <w:szCs w:val="32"/>
        </w:rPr>
        <w:t>围绕全年政府信息公开要点，扎实做好政府信息公开工作，</w:t>
      </w:r>
      <w:r>
        <w:rPr>
          <w:rFonts w:hint="eastAsia" w:ascii="方正仿宋_GBK" w:hAnsi="方正仿宋_GBK" w:eastAsia="方正仿宋_GBK" w:cs="方正仿宋_GBK"/>
          <w:sz w:val="32"/>
          <w:szCs w:val="32"/>
          <w:lang w:val="en-US" w:eastAsia="zh-CN"/>
        </w:rPr>
        <w:t>现将有关情况报告如下</w:t>
      </w:r>
      <w:r>
        <w:rPr>
          <w:rFonts w:hint="eastAsia" w:ascii="方正仿宋_GBK" w:hAnsi="方正仿宋_GBK" w:eastAsia="方正仿宋_GBK" w:cs="方正仿宋_GBK"/>
          <w:sz w:val="32"/>
          <w:szCs w:val="32"/>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方正黑体_GBK" w:hAnsi="方正黑体_GBK" w:eastAsia="方正黑体_GBK" w:cs="方正黑体_GBK"/>
          <w:i w:val="0"/>
          <w:caps w:val="0"/>
          <w:color w:val="333333"/>
          <w:spacing w:val="0"/>
          <w:sz w:val="31"/>
          <w:szCs w:val="31"/>
          <w:shd w:val="clear" w:fill="FFFFFF"/>
        </w:rPr>
      </w:pPr>
      <w:r>
        <w:rPr>
          <w:rFonts w:hint="eastAsia" w:ascii="方正黑体_GBK" w:hAnsi="方正黑体_GBK" w:eastAsia="方正黑体_GBK" w:cs="方正黑体_GBK"/>
          <w:i w:val="0"/>
          <w:caps w:val="0"/>
          <w:color w:val="333333"/>
          <w:spacing w:val="0"/>
          <w:sz w:val="31"/>
          <w:szCs w:val="31"/>
          <w:shd w:val="clear" w:fill="FFFFFF"/>
        </w:rPr>
        <w:t>一、总体情况</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（一）进一步覆盖信息公开领域。201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年，我局在“中国南京”网站和门户网站主动公开政府工作信息和相关政策、信息公开制度、信息公开指南、信息公开年报等，实现了公开目录全覆盖，并及时处理主任信箱、投诉咨询和建议。信息</w:t>
      </w:r>
      <w:r>
        <w:rPr>
          <w:rFonts w:hint="eastAsia" w:ascii="方正仿宋_GBK" w:hAnsi="方正仿宋_GBK" w:eastAsia="方正仿宋_GBK" w:cs="方正仿宋_GBK"/>
          <w:sz w:val="32"/>
          <w:szCs w:val="32"/>
          <w:lang w:val="en-US" w:eastAsia="zh-CN"/>
        </w:rPr>
        <w:t>发布总数725</w:t>
      </w:r>
      <w:r>
        <w:rPr>
          <w:rFonts w:hint="eastAsia" w:ascii="方正仿宋_GBK" w:hAnsi="方正仿宋_GBK" w:eastAsia="方正仿宋_GBK" w:cs="方正仿宋_GBK"/>
          <w:sz w:val="32"/>
          <w:szCs w:val="32"/>
        </w:rPr>
        <w:t>条，信息公开电子化率100%，其中概况类信息</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条、政务动态信息</w:t>
      </w:r>
      <w:r>
        <w:rPr>
          <w:rFonts w:hint="eastAsia" w:ascii="方正仿宋_GBK" w:hAnsi="方正仿宋_GBK" w:eastAsia="方正仿宋_GBK" w:cs="方正仿宋_GBK"/>
          <w:sz w:val="32"/>
          <w:szCs w:val="32"/>
          <w:lang w:val="en-US" w:eastAsia="zh-CN"/>
        </w:rPr>
        <w:t>532</w:t>
      </w:r>
      <w:r>
        <w:rPr>
          <w:rFonts w:hint="eastAsia" w:ascii="方正仿宋_GBK" w:hAnsi="方正仿宋_GBK" w:eastAsia="方正仿宋_GBK" w:cs="方正仿宋_GBK"/>
          <w:sz w:val="32"/>
          <w:szCs w:val="32"/>
        </w:rPr>
        <w:t>条、信息公开目录信息</w:t>
      </w:r>
      <w:r>
        <w:rPr>
          <w:rFonts w:hint="eastAsia" w:ascii="方正仿宋_GBK" w:hAnsi="方正仿宋_GBK" w:eastAsia="方正仿宋_GBK" w:cs="方正仿宋_GBK"/>
          <w:sz w:val="32"/>
          <w:szCs w:val="32"/>
          <w:lang w:val="en-US" w:eastAsia="zh-CN"/>
        </w:rPr>
        <w:t>190条。</w:t>
      </w:r>
      <w:r>
        <w:rPr>
          <w:rFonts w:hint="eastAsia" w:ascii="方正仿宋_GBK" w:hAnsi="方正仿宋_GBK" w:eastAsia="方正仿宋_GBK" w:cs="方正仿宋_GBK"/>
          <w:sz w:val="32"/>
          <w:szCs w:val="32"/>
        </w:rPr>
        <w:t>市工信局门户网站日均访问量</w:t>
      </w:r>
      <w:r>
        <w:rPr>
          <w:rFonts w:hint="eastAsia" w:ascii="方正仿宋_GBK" w:hAnsi="方正仿宋_GBK" w:eastAsia="方正仿宋_GBK" w:cs="方正仿宋_GBK"/>
          <w:sz w:val="32"/>
          <w:szCs w:val="32"/>
          <w:lang w:val="en-US" w:eastAsia="zh-CN"/>
        </w:rPr>
        <w:t>三千余次</w:t>
      </w:r>
      <w:r>
        <w:rPr>
          <w:rFonts w:hint="eastAsia" w:ascii="方正仿宋_GBK" w:hAnsi="方正仿宋_GBK" w:eastAsia="方正仿宋_GBK" w:cs="方正仿宋_GBK"/>
          <w:sz w:val="32"/>
          <w:szCs w:val="32"/>
        </w:rPr>
        <w:t>次，访问量较20</w:t>
      </w:r>
      <w:r>
        <w:rPr>
          <w:rFonts w:hint="eastAsia" w:ascii="方正仿宋_GBK" w:hAnsi="方正仿宋_GBK" w:eastAsia="方正仿宋_GBK" w:cs="方正仿宋_GBK"/>
          <w:sz w:val="32"/>
          <w:szCs w:val="32"/>
          <w:lang w:val="en-US" w:eastAsia="zh-CN"/>
        </w:rPr>
        <w:t>18</w:t>
      </w:r>
      <w:r>
        <w:rPr>
          <w:rFonts w:hint="eastAsia" w:ascii="方正仿宋_GBK" w:hAnsi="方正仿宋_GBK" w:eastAsia="方正仿宋_GBK" w:cs="方正仿宋_GBK"/>
          <w:sz w:val="32"/>
          <w:szCs w:val="32"/>
        </w:rPr>
        <w:t>年进一步提升。全年信息推送保障“中国南京”网位列全市部门前列，并根据全市部署要求，着重做好重大项目信息公开、201</w:t>
      </w:r>
      <w:r>
        <w:rPr>
          <w:rFonts w:hint="eastAsia" w:ascii="方正仿宋_GBK" w:hAnsi="方正仿宋_GBK" w:eastAsia="方正仿宋_GBK" w:cs="方正仿宋_GBK"/>
          <w:sz w:val="32"/>
          <w:szCs w:val="32"/>
          <w:lang w:val="en-US" w:eastAsia="zh-CN"/>
        </w:rPr>
        <w:t>9</w:t>
      </w:r>
      <w:r>
        <w:rPr>
          <w:rFonts w:hint="eastAsia" w:ascii="方正仿宋_GBK" w:hAnsi="方正仿宋_GBK" w:eastAsia="方正仿宋_GBK" w:cs="方正仿宋_GBK"/>
          <w:sz w:val="32"/>
          <w:szCs w:val="32"/>
        </w:rPr>
        <w:t>年度财政预决算、“三公”经费和专项经费等信息公开。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二）进一步规范信息公开内容。为增强信息公开规范性、提高公开信息质量，我局积极落实市政府办公厅关于加强政务公开工作的相关要求，组织全局机关及直属单位，结合日常业务培训学习政务公开及网站工作的相关规定。推进实施《南京市工业和信息化局信息公开办法（试行）》，修订《南京市工业和信息化局信息公开指南》，发布申请获取政府信息十项指引，不断完善信息公开工作流程。</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方正黑体_GBK" w:hAnsi="方正黑体_GBK" w:eastAsia="方正黑体_GBK" w:cs="方正黑体_GBK"/>
          <w:i w:val="0"/>
          <w:caps w:val="0"/>
          <w:color w:val="333333"/>
          <w:spacing w:val="0"/>
          <w:sz w:val="31"/>
          <w:szCs w:val="31"/>
          <w:bdr w:val="none" w:color="auto" w:sz="0" w:space="0"/>
          <w:shd w:val="clear" w:fill="FFFFFF"/>
        </w:rPr>
      </w:pPr>
      <w:r>
        <w:rPr>
          <w:rFonts w:hint="eastAsia" w:ascii="方正仿宋_GBK" w:hAnsi="方正仿宋_GBK" w:eastAsia="方正仿宋_GBK" w:cs="方正仿宋_GBK"/>
          <w:sz w:val="32"/>
          <w:szCs w:val="32"/>
        </w:rPr>
        <w:t xml:space="preserve">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三）进一步突出信息公开重点。根据市委市政府交办的各项工作任务及年度政务公开工作要点，我局继续聚焦全市工业和信息化经济建设的各项重点工作和任务，围绕工业经济调度运行、重大工业项目投资、优势产业地标打造、持续优化营商环境、做好民营企业发展服务、节能环保及“263”专项行动、打造中国“软件名城”、工业互联网建设等重点工作，扎实推进政务公开。全年通过各类渠道发布传达党中央国务院、省委省政府、市委市政府重点工作情况和重要会议精神、产业发展政策及解读、工业重大项目投资专项工作及重点目标任务进展情况等各类重点工作政务信息</w:t>
      </w:r>
      <w:r>
        <w:rPr>
          <w:rFonts w:hint="eastAsia" w:ascii="方正仿宋_GBK" w:hAnsi="方正仿宋_GBK" w:eastAsia="方正仿宋_GBK" w:cs="方正仿宋_GBK"/>
          <w:sz w:val="32"/>
          <w:szCs w:val="32"/>
          <w:lang w:val="en-US" w:eastAsia="zh-CN"/>
        </w:rPr>
        <w:t>500</w:t>
      </w:r>
      <w:r>
        <w:rPr>
          <w:rFonts w:hint="eastAsia" w:ascii="方正仿宋_GBK" w:hAnsi="方正仿宋_GBK" w:eastAsia="方正仿宋_GBK" w:cs="方正仿宋_GBK"/>
          <w:sz w:val="32"/>
          <w:szCs w:val="32"/>
        </w:rPr>
        <w:t>余条。全局各处室及直属单位积极通过</w:t>
      </w:r>
      <w:r>
        <w:rPr>
          <w:rFonts w:hint="eastAsia" w:ascii="方正仿宋_GBK" w:hAnsi="方正仿宋_GBK" w:eastAsia="方正仿宋_GBK" w:cs="方正仿宋_GBK"/>
          <w:sz w:val="32"/>
          <w:szCs w:val="32"/>
          <w:lang w:eastAsia="zh-CN"/>
        </w:rPr>
        <w:t>本局</w:t>
      </w:r>
      <w:r>
        <w:rPr>
          <w:rFonts w:hint="eastAsia" w:ascii="方正仿宋_GBK" w:hAnsi="方正仿宋_GBK" w:eastAsia="方正仿宋_GBK" w:cs="方正仿宋_GBK"/>
          <w:sz w:val="32"/>
          <w:szCs w:val="32"/>
        </w:rPr>
        <w:t>门户网站、微信等全媒体平台渠道，及时准确做好工作动态、相关数据、政务公开事项等内容的更新，进一步完善了部门协同、上下联动的良性机制。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二、主动公开政府信息情况</w:t>
      </w:r>
    </w:p>
    <w:tbl>
      <w:tblPr>
        <w:tblW w:w="913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3120"/>
        <w:gridCol w:w="1905"/>
        <w:gridCol w:w="1245"/>
        <w:gridCol w:w="286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rPr>
        <w:tc>
          <w:tcPr>
            <w:tcW w:w="9135" w:type="dxa"/>
            <w:gridSpan w:val="4"/>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信息内容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本年新</w:t>
            </w:r>
            <w:r>
              <w:rPr>
                <w:rFonts w:hint="eastAsia" w:ascii="宋体" w:hAnsi="宋体" w:eastAsia="宋体" w:cs="宋体"/>
                <w:color w:val="000000"/>
                <w:sz w:val="19"/>
                <w:szCs w:val="19"/>
                <w:bdr w:val="none" w:color="auto" w:sz="0" w:space="0"/>
              </w:rPr>
              <w:br w:type="textWrapping"/>
            </w:r>
            <w:r>
              <w:rPr>
                <w:rFonts w:hint="eastAsia" w:ascii="宋体" w:hAnsi="宋体" w:eastAsia="宋体" w:cs="宋体"/>
                <w:color w:val="333333"/>
                <w:sz w:val="19"/>
                <w:szCs w:val="19"/>
                <w:bdr w:val="none" w:color="auto" w:sz="0" w:space="0"/>
              </w:rPr>
              <w:t>制作数量</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本年新</w:t>
            </w:r>
            <w:r>
              <w:rPr>
                <w:rFonts w:hint="eastAsia" w:ascii="宋体" w:hAnsi="宋体" w:eastAsia="宋体" w:cs="宋体"/>
                <w:color w:val="000000"/>
                <w:sz w:val="19"/>
                <w:szCs w:val="19"/>
                <w:bdr w:val="none" w:color="auto" w:sz="0" w:space="0"/>
              </w:rPr>
              <w:br w:type="textWrapping"/>
            </w:r>
            <w:r>
              <w:rPr>
                <w:rFonts w:hint="eastAsia" w:ascii="宋体" w:hAnsi="宋体" w:eastAsia="宋体" w:cs="宋体"/>
                <w:color w:val="000000"/>
                <w:sz w:val="19"/>
                <w:szCs w:val="19"/>
                <w:bdr w:val="none" w:color="auto" w:sz="0" w:space="0"/>
              </w:rPr>
              <w:t> </w:t>
            </w:r>
            <w:r>
              <w:rPr>
                <w:rFonts w:hint="eastAsia" w:ascii="宋体" w:hAnsi="宋体" w:eastAsia="宋体" w:cs="宋体"/>
                <w:color w:val="333333"/>
                <w:sz w:val="19"/>
                <w:szCs w:val="19"/>
                <w:bdr w:val="none" w:color="auto" w:sz="0" w:space="0"/>
              </w:rPr>
              <w:t>公开数量</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对外公开总数量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规章</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规范性文件</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1</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1</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信息内容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上一年项目数量</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本年增/减</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行政许可</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0</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bookmarkStart w:id="0" w:name="_GoBack"/>
            <w:bookmarkEnd w:id="0"/>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其他对外管理服务事项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0</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0</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default" w:eastAsiaTheme="minorEastAsia"/>
                <w:color w:val="333333"/>
                <w:sz w:val="21"/>
                <w:szCs w:val="21"/>
                <w:lang w:val="en-US" w:eastAsia="zh-CN"/>
              </w:rPr>
            </w:pPr>
            <w:r>
              <w:rPr>
                <w:rFonts w:hint="eastAsia" w:ascii="宋体" w:hAnsi="宋体" w:eastAsia="宋体" w:cs="宋体"/>
                <w:color w:val="000000"/>
                <w:sz w:val="19"/>
                <w:szCs w:val="19"/>
                <w:bdr w:val="none" w:color="auto" w:sz="0" w:space="0"/>
                <w:lang w:val="en-US" w:eastAsia="zh-CN"/>
              </w:rPr>
              <w:t>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913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信息内容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上一年项目数量</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本年增/减</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行政处罚</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0</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0</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default" w:eastAsiaTheme="minorEastAsia"/>
                <w:color w:val="333333"/>
                <w:sz w:val="21"/>
                <w:szCs w:val="21"/>
                <w:lang w:val="en-US" w:eastAsia="zh-CN"/>
              </w:rPr>
            </w:pPr>
            <w:r>
              <w:rPr>
                <w:rFonts w:hint="eastAsia"/>
                <w:color w:val="000000"/>
                <w:sz w:val="21"/>
                <w:szCs w:val="21"/>
                <w:bdr w:val="none" w:color="auto" w:sz="0" w:space="0"/>
                <w:lang w:val="en-US" w:eastAsia="zh-CN"/>
              </w:rPr>
              <w:t>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行政强制</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c>
          <w:tcPr>
            <w:tcW w:w="124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c>
          <w:tcPr>
            <w:tcW w:w="286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7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信息内容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left"/>
              <w:rPr>
                <w:color w:val="333333"/>
                <w:sz w:val="21"/>
                <w:szCs w:val="21"/>
              </w:rPr>
            </w:pPr>
            <w:r>
              <w:rPr>
                <w:rFonts w:hint="eastAsia" w:ascii="宋体" w:hAnsi="宋体" w:eastAsia="宋体" w:cs="宋体"/>
                <w:color w:val="000000"/>
                <w:sz w:val="19"/>
                <w:szCs w:val="19"/>
                <w:bdr w:val="none" w:color="auto" w:sz="0" w:space="0"/>
              </w:rPr>
              <w:t>上一年项目数量</w:t>
            </w:r>
          </w:p>
        </w:tc>
        <w:tc>
          <w:tcPr>
            <w:tcW w:w="411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本年增/减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行政事业性收费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411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9135" w:type="dxa"/>
            <w:gridSpan w:val="4"/>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第二十条第（九）项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信息内容</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采购项目数量</w:t>
            </w:r>
          </w:p>
        </w:tc>
        <w:tc>
          <w:tcPr>
            <w:tcW w:w="411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采购总金额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312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政府集中采购</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000000"/>
                <w:sz w:val="21"/>
                <w:szCs w:val="21"/>
                <w:bdr w:val="none" w:color="auto" w:sz="0" w:space="0"/>
                <w:lang w:val="en-US" w:eastAsia="zh-CN"/>
              </w:rPr>
              <w:t>4</w:t>
            </w:r>
          </w:p>
        </w:tc>
        <w:tc>
          <w:tcPr>
            <w:tcW w:w="4110" w:type="dxa"/>
            <w:gridSpan w:val="2"/>
            <w:tcBorders>
              <w:top w:val="nil"/>
              <w:left w:val="nil"/>
              <w:bottom w:val="single" w:color="auto" w:sz="6" w:space="0"/>
              <w:right w:val="single" w:color="000000"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eastAsia="宋体"/>
                <w:color w:val="000000"/>
                <w:sz w:val="21"/>
                <w:szCs w:val="21"/>
                <w:bdr w:val="none" w:color="auto" w:sz="0" w:space="0"/>
                <w:lang w:val="en-US" w:eastAsia="zh-CN"/>
              </w:rPr>
              <w:t>119</w:t>
            </w:r>
            <w:r>
              <w:rPr>
                <w:rFonts w:hint="eastAsia" w:ascii="宋体" w:hAnsi="宋体" w:eastAsia="宋体" w:cs="宋体"/>
                <w:color w:val="000000"/>
                <w:sz w:val="19"/>
                <w:szCs w:val="19"/>
                <w:bdr w:val="none" w:color="auto" w:sz="0" w:space="0"/>
              </w:rPr>
              <w:t>万元</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三、收到和处理政府信息公开申请情况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14"/>
        <w:gridCol w:w="855"/>
        <w:gridCol w:w="2020"/>
        <w:gridCol w:w="868"/>
        <w:gridCol w:w="749"/>
        <w:gridCol w:w="749"/>
        <w:gridCol w:w="809"/>
        <w:gridCol w:w="973"/>
        <w:gridCol w:w="719"/>
        <w:gridCol w:w="7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3495" w:type="dxa"/>
            <w:gridSpan w:val="3"/>
            <w:vMerge w:val="restar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（本列数据的勾稽关系为：第一项加第二项之和，等于第三项加第四项之和）</w:t>
            </w:r>
          </w:p>
        </w:tc>
        <w:tc>
          <w:tcPr>
            <w:tcW w:w="5580" w:type="dxa"/>
            <w:gridSpan w:val="7"/>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申请人情况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349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自然人</w:t>
            </w:r>
          </w:p>
        </w:tc>
        <w:tc>
          <w:tcPr>
            <w:tcW w:w="4005"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法人或其他组织</w:t>
            </w:r>
          </w:p>
        </w:tc>
        <w:tc>
          <w:tcPr>
            <w:tcW w:w="69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495" w:type="dxa"/>
            <w:gridSpan w:val="3"/>
            <w:vMerge w:val="continue"/>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商业企业</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科研机构</w:t>
            </w: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社会公益组织</w:t>
            </w: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法律服务机构</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其他</w:t>
            </w:r>
          </w:p>
        </w:tc>
        <w:tc>
          <w:tcPr>
            <w:tcW w:w="69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4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一、本年新收政府信息公开申请数量</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5</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val="en-US" w:eastAsia="zh-CN"/>
              </w:rPr>
            </w:pPr>
            <w:r>
              <w:rPr>
                <w:rFonts w:hint="eastAsia"/>
                <w:color w:val="333333"/>
                <w:sz w:val="21"/>
                <w:szCs w:val="21"/>
                <w:lang w:val="en-US" w:eastAsia="zh-CN"/>
              </w:rPr>
              <w:t>2</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4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二、上年结转政府信息公开申请数量</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三、本年度办理结果</w:t>
            </w:r>
          </w:p>
        </w:tc>
        <w:tc>
          <w:tcPr>
            <w:tcW w:w="28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（一）予以公开</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5</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default" w:eastAsiaTheme="minorEastAsia"/>
                <w:color w:val="333333"/>
                <w:sz w:val="21"/>
                <w:szCs w:val="21"/>
                <w:lang w:val="en-US" w:eastAsia="zh-CN"/>
              </w:rPr>
            </w:pPr>
            <w:r>
              <w:rPr>
                <w:rFonts w:hint="eastAsia"/>
                <w:color w:val="333333"/>
                <w:sz w:val="21"/>
                <w:szCs w:val="21"/>
                <w:lang w:val="en-US" w:eastAsia="zh-CN"/>
              </w:rPr>
              <w:t>2</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25" w:hRule="atLeast"/>
        </w:trPr>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（二）部分公开（区分处理的，只计这一情形，不计其他情形）</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（三）不予公开</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1.属于国家秘密</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2.其他法律行政法规禁止公开</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3.危及“三安全一稳定”</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4.保护第三方合法权益</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5.属于三类内部事务信息</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6.属于四类过程性信息</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7.属于行政执法案卷</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8.属于行政查询事项</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left"/>
              <w:rPr>
                <w:color w:val="333333"/>
                <w:sz w:val="21"/>
                <w:szCs w:val="21"/>
              </w:rPr>
            </w:pPr>
            <w:r>
              <w:rPr>
                <w:rFonts w:ascii="楷体" w:hAnsi="楷体" w:eastAsia="楷体" w:cs="楷体"/>
                <w:color w:val="333333"/>
                <w:sz w:val="19"/>
                <w:szCs w:val="19"/>
                <w:bdr w:val="none" w:color="auto" w:sz="0" w:space="0"/>
              </w:rPr>
              <w:t>（四）无法提供</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1.本机关不掌握相关政府信息</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2.没有现成信息需要另行制作</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3.补正后申请内容仍不明确</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left"/>
              <w:rPr>
                <w:color w:val="333333"/>
                <w:sz w:val="21"/>
                <w:szCs w:val="21"/>
              </w:rPr>
            </w:pPr>
            <w:r>
              <w:rPr>
                <w:rFonts w:hint="eastAsia" w:ascii="楷体" w:hAnsi="楷体" w:eastAsia="楷体" w:cs="楷体"/>
                <w:color w:val="333333"/>
                <w:sz w:val="19"/>
                <w:szCs w:val="19"/>
                <w:bdr w:val="none" w:color="auto" w:sz="0" w:space="0"/>
              </w:rPr>
              <w:t>（五）不予处理</w:t>
            </w: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1.信访举报投诉类申请</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2.重复申请</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3.要求提供公开出版物</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4.无正当理由大量反复申请</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855"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02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5.要求行政机关确认或重新出具已获取信息</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（六）其他处理</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left"/>
              <w:rPr>
                <w:color w:val="333333"/>
                <w:sz w:val="21"/>
                <w:szCs w:val="21"/>
              </w:rPr>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615"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2880" w:type="dxa"/>
            <w:gridSpan w:val="2"/>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rPr>
                <w:color w:val="333333"/>
                <w:sz w:val="21"/>
                <w:szCs w:val="21"/>
              </w:rPr>
            </w:pPr>
            <w:r>
              <w:rPr>
                <w:rFonts w:hint="eastAsia" w:ascii="宋体" w:hAnsi="宋体" w:eastAsia="宋体" w:cs="宋体"/>
                <w:color w:val="333333"/>
                <w:sz w:val="19"/>
                <w:szCs w:val="19"/>
                <w:bdr w:val="none" w:color="auto" w:sz="0" w:space="0"/>
              </w:rPr>
              <w:t>（七）总计</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5</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val="en-US" w:eastAsia="zh-CN"/>
              </w:rPr>
            </w:pPr>
            <w:r>
              <w:rPr>
                <w:rFonts w:hint="eastAsia"/>
                <w:color w:val="333333"/>
                <w:sz w:val="21"/>
                <w:szCs w:val="21"/>
                <w:lang w:val="en-US" w:eastAsia="zh-CN"/>
              </w:rPr>
              <w:t>2</w:t>
            </w: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val="en-US" w:eastAsia="zh-CN"/>
              </w:rPr>
            </w:pPr>
            <w:r>
              <w:rPr>
                <w:rFonts w:hint="eastAsia"/>
                <w:color w:val="333333"/>
                <w:sz w:val="21"/>
                <w:szCs w:val="21"/>
                <w:lang w:val="en-US" w:eastAsia="zh-CN"/>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3495" w:type="dxa"/>
            <w:gridSpan w:val="3"/>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left"/>
              <w:rPr>
                <w:color w:val="333333"/>
                <w:sz w:val="21"/>
                <w:szCs w:val="21"/>
              </w:rPr>
            </w:pPr>
            <w:r>
              <w:rPr>
                <w:rFonts w:hint="eastAsia" w:ascii="宋体" w:hAnsi="宋体" w:eastAsia="宋体" w:cs="宋体"/>
                <w:color w:val="333333"/>
                <w:sz w:val="19"/>
                <w:szCs w:val="19"/>
                <w:bdr w:val="none" w:color="auto" w:sz="0" w:space="0"/>
              </w:rPr>
              <w:t>四、结转下年度继续办理</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5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81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97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9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四、政府信息公开行政复议、行政诉讼情况</w:t>
      </w:r>
    </w:p>
    <w:tbl>
      <w:tblPr>
        <w:tblW w:w="90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600"/>
        <w:gridCol w:w="600"/>
        <w:gridCol w:w="600"/>
        <w:gridCol w:w="600"/>
        <w:gridCol w:w="675"/>
        <w:gridCol w:w="555"/>
        <w:gridCol w:w="600"/>
        <w:gridCol w:w="600"/>
        <w:gridCol w:w="600"/>
        <w:gridCol w:w="615"/>
        <w:gridCol w:w="600"/>
        <w:gridCol w:w="600"/>
        <w:gridCol w:w="600"/>
        <w:gridCol w:w="600"/>
        <w:gridCol w:w="6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3075" w:type="dxa"/>
            <w:gridSpan w:val="5"/>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行政复议</w:t>
            </w:r>
          </w:p>
        </w:tc>
        <w:tc>
          <w:tcPr>
            <w:tcW w:w="6000" w:type="dxa"/>
            <w:gridSpan w:val="10"/>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行政诉讼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00" w:type="dxa"/>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结果维持</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结果纠正</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其他结果</w:t>
            </w:r>
          </w:p>
        </w:tc>
        <w:tc>
          <w:tcPr>
            <w:tcW w:w="60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尚未审结</w:t>
            </w:r>
          </w:p>
        </w:tc>
        <w:tc>
          <w:tcPr>
            <w:tcW w:w="66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总计</w:t>
            </w:r>
          </w:p>
        </w:tc>
        <w:tc>
          <w:tcPr>
            <w:tcW w:w="297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未经复议直接起诉</w:t>
            </w:r>
          </w:p>
        </w:tc>
        <w:tc>
          <w:tcPr>
            <w:tcW w:w="3030" w:type="dxa"/>
            <w:gridSpan w:val="5"/>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复议后起诉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00" w:type="dxa"/>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0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66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其他结果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尚未审结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总计</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结果维持</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结果纠正</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其他结果</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333333"/>
                <w:sz w:val="19"/>
                <w:szCs w:val="19"/>
                <w:bdr w:val="none" w:color="auto" w:sz="0" w:space="0"/>
              </w:rPr>
              <w:t>尚未审结</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rFonts w:hint="eastAsia" w:ascii="宋体" w:hAnsi="宋体" w:eastAsia="宋体" w:cs="宋体"/>
                <w:color w:val="000000"/>
                <w:sz w:val="19"/>
                <w:szCs w:val="19"/>
                <w:bdr w:val="none" w:color="auto" w:sz="0" w:space="0"/>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c>
          <w:tcPr>
            <w:tcW w:w="600"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rFonts w:hint="eastAsia" w:eastAsiaTheme="minorEastAsia"/>
                <w:color w:val="333333"/>
                <w:sz w:val="21"/>
                <w:szCs w:val="21"/>
                <w:lang w:eastAsia="zh-CN"/>
              </w:rPr>
            </w:pPr>
            <w:r>
              <w:rPr>
                <w:rFonts w:hint="eastAsia"/>
                <w:color w:val="333333"/>
                <w:sz w:val="21"/>
                <w:szCs w:val="21"/>
                <w:bdr w:val="none" w:color="auto" w:sz="0" w:space="0"/>
                <w:lang w:val="en-US" w:eastAsia="zh-CN"/>
              </w:rPr>
              <w:t>0</w:t>
            </w:r>
          </w:p>
        </w:tc>
        <w:tc>
          <w:tcPr>
            <w:tcW w:w="5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000000"/>
                <w:sz w:val="21"/>
                <w:szCs w:val="21"/>
                <w:bdr w:val="none" w:color="auto" w:sz="0" w:space="0"/>
              </w:rPr>
              <w:t>0</w:t>
            </w: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60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1" w:after="180" w:afterAutospacing="0" w:line="420" w:lineRule="atLeast"/>
              <w:ind w:left="0" w:right="0"/>
              <w:jc w:val="center"/>
              <w:rPr>
                <w:color w:val="333333"/>
                <w:sz w:val="21"/>
                <w:szCs w:val="21"/>
              </w:rPr>
            </w:pPr>
            <w:r>
              <w:rPr>
                <w:color w:val="333333"/>
                <w:sz w:val="21"/>
                <w:szCs w:val="21"/>
                <w:bdr w:val="none" w:color="auto" w:sz="0" w:space="0"/>
              </w:rPr>
              <w:t>0</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五、存在的主要问题及改进情况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目前，政府信息公开主要</w:t>
      </w:r>
      <w:r>
        <w:rPr>
          <w:rFonts w:hint="eastAsia" w:ascii="方正仿宋_GBK" w:hAnsi="方正仿宋_GBK" w:eastAsia="方正仿宋_GBK" w:cs="方正仿宋_GBK"/>
          <w:kern w:val="2"/>
          <w:sz w:val="32"/>
          <w:szCs w:val="32"/>
          <w:lang w:val="en-US" w:eastAsia="zh-CN" w:bidi="ar-SA"/>
        </w:rPr>
        <w:t>在信息公开的深度、政策解读工作的水平、工作方式创新等方面存在不足，考虑从以下四个方面作进一步的改进：</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（一）规范政府信息公开行为。进一步规范信息公开流程；开展政府信息公开建议改进工作，并探索形成相应的工作规则。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（二）深化政务公开内容。以社会关注度高、公共利益大的政府信息作为突破口，进一步深化政府信息公开内容细则。</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w:t>
      </w:r>
      <w:r>
        <w:rPr>
          <w:rFonts w:hint="eastAsia" w:ascii="方正仿宋_GBK" w:hAnsi="方正仿宋_GBK" w:eastAsia="方正仿宋_GBK" w:cs="方正仿宋_GBK"/>
          <w:kern w:val="2"/>
          <w:sz w:val="32"/>
          <w:szCs w:val="32"/>
          <w:lang w:val="en-US" w:eastAsia="zh-CN" w:bidi="ar-SA"/>
        </w:rPr>
        <w:t>提升政策解读工作水平。</w:t>
      </w:r>
      <w:r>
        <w:rPr>
          <w:rFonts w:hint="eastAsia" w:ascii="方正仿宋_GBK" w:hAnsi="方正仿宋_GBK" w:eastAsia="方正仿宋_GBK" w:cs="方正仿宋_GBK"/>
          <w:kern w:val="2"/>
          <w:sz w:val="32"/>
          <w:szCs w:val="32"/>
          <w:lang w:val="en-US" w:eastAsia="zh-CN" w:bidi="ar-SA"/>
        </w:rPr>
        <w:t>推进政府机关对社会关注度高、专业性强的重大决定提供解读服务；加强政府信息公开咨询服务工作；加强宣传和普及力度，提高公众对政府信息公开的认知度。</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w:t>
      </w:r>
      <w:r>
        <w:rPr>
          <w:rFonts w:hint="eastAsia" w:ascii="方正仿宋_GBK" w:hAnsi="方正仿宋_GBK" w:eastAsia="方正仿宋_GBK" w:cs="方正仿宋_GBK"/>
          <w:kern w:val="2"/>
          <w:sz w:val="32"/>
          <w:szCs w:val="32"/>
          <w:lang w:val="en-US" w:eastAsia="zh-CN" w:bidi="ar-SA"/>
        </w:rPr>
        <w:t>拓展政务公开的载体。</w:t>
      </w:r>
      <w:r>
        <w:rPr>
          <w:rFonts w:hint="eastAsia" w:ascii="方正仿宋_GBK" w:hAnsi="方正仿宋_GBK" w:eastAsia="方正仿宋_GBK" w:cs="方正仿宋_GBK"/>
          <w:kern w:val="2"/>
          <w:sz w:val="32"/>
          <w:szCs w:val="32"/>
          <w:lang w:val="en-US" w:eastAsia="zh-CN" w:bidi="ar-SA"/>
        </w:rPr>
        <w:t>着力在微信公众号功能完善上下功夫，探索增加信用查询、价格查核等政务服务功能。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rPr>
          <w:rFonts w:hint="eastAsia" w:ascii="宋体" w:hAnsi="宋体" w:eastAsia="宋体" w:cs="宋体"/>
          <w:i w:val="0"/>
          <w:caps w:val="0"/>
          <w:color w:val="333333"/>
          <w:spacing w:val="0"/>
          <w:sz w:val="21"/>
          <w:szCs w:val="21"/>
        </w:rPr>
      </w:pPr>
      <w:r>
        <w:rPr>
          <w:rFonts w:hint="eastAsia" w:ascii="方正黑体_GBK" w:hAnsi="方正黑体_GBK" w:eastAsia="方正黑体_GBK" w:cs="方正黑体_GBK"/>
          <w:i w:val="0"/>
          <w:caps w:val="0"/>
          <w:color w:val="333333"/>
          <w:spacing w:val="0"/>
          <w:sz w:val="31"/>
          <w:szCs w:val="31"/>
          <w:bdr w:val="none" w:color="auto" w:sz="0" w:space="0"/>
          <w:shd w:val="clear" w:fill="FFFFFF"/>
        </w:rPr>
        <w:t>六、其他需要报告的事项</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6"/>
        <w:jc w:val="left"/>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无</w:t>
      </w:r>
    </w:p>
    <w:p>
      <w:pPr>
        <w:ind w:firstLine="620" w:firstLineChars="200"/>
        <w:rPr>
          <w:rFonts w:hint="eastAsia" w:ascii="宋体" w:hAnsi="宋体" w:eastAsia="宋体" w:cs="宋体"/>
          <w:i w:val="0"/>
          <w:caps w:val="0"/>
          <w:color w:val="333333"/>
          <w:spacing w:val="0"/>
          <w:kern w:val="0"/>
          <w:sz w:val="31"/>
          <w:szCs w:val="31"/>
          <w:shd w:val="clear" w:fill="FFFFFF"/>
          <w:lang w:val="en-US" w:eastAsia="zh-CN" w:bidi="ar"/>
        </w:rPr>
      </w:pPr>
    </w:p>
    <w:p>
      <w:pPr>
        <w:ind w:firstLine="620" w:firstLineChars="200"/>
        <w:rPr>
          <w:rFonts w:hint="eastAsia" w:ascii="宋体" w:hAnsi="宋体" w:eastAsia="宋体" w:cs="宋体"/>
          <w:i w:val="0"/>
          <w:caps w:val="0"/>
          <w:color w:val="333333"/>
          <w:spacing w:val="0"/>
          <w:kern w:val="0"/>
          <w:sz w:val="31"/>
          <w:szCs w:val="31"/>
          <w:shd w:val="clear" w:fill="FFFFFF"/>
          <w:lang w:val="en-US" w:eastAsia="zh-CN" w:bidi="ar"/>
        </w:rPr>
      </w:pPr>
    </w:p>
    <w:p>
      <w:pPr>
        <w:ind w:firstLine="620" w:firstLineChars="200"/>
        <w:rPr>
          <w:rFonts w:hint="eastAsia" w:ascii="方正仿宋_GBK" w:hAnsi="方正仿宋_GBK" w:eastAsia="方正仿宋_GBK" w:cs="方正仿宋_GBK"/>
          <w:kern w:val="2"/>
          <w:sz w:val="32"/>
          <w:szCs w:val="32"/>
          <w:lang w:val="en-US" w:eastAsia="zh-CN" w:bidi="ar-SA"/>
        </w:rPr>
      </w:pPr>
      <w:r>
        <w:rPr>
          <w:rFonts w:hint="eastAsia" w:ascii="宋体" w:hAnsi="宋体" w:eastAsia="宋体" w:cs="宋体"/>
          <w:i w:val="0"/>
          <w:caps w:val="0"/>
          <w:color w:val="333333"/>
          <w:spacing w:val="0"/>
          <w:kern w:val="0"/>
          <w:sz w:val="31"/>
          <w:szCs w:val="31"/>
          <w:shd w:val="clear" w:fill="FFFFFF"/>
          <w:lang w:val="en-US" w:eastAsia="zh-CN" w:bidi="ar"/>
        </w:rPr>
        <w:t xml:space="preserve">                           </w:t>
      </w:r>
      <w:r>
        <w:rPr>
          <w:rFonts w:hint="eastAsia" w:ascii="方正仿宋_GBK" w:hAnsi="方正仿宋_GBK" w:eastAsia="方正仿宋_GBK" w:cs="方正仿宋_GBK"/>
          <w:kern w:val="2"/>
          <w:sz w:val="32"/>
          <w:szCs w:val="32"/>
          <w:lang w:val="en-US" w:eastAsia="zh-CN" w:bidi="ar-SA"/>
        </w:rPr>
        <w:t xml:space="preserve"> 南</w:t>
      </w:r>
      <w:bookmarkStart w:id="1" w:name="_GoBack"/>
      <w:bookmarkEnd w:id="1"/>
      <w:r>
        <w:rPr>
          <w:rFonts w:hint="eastAsia" w:ascii="方正仿宋_GBK" w:hAnsi="方正仿宋_GBK" w:eastAsia="方正仿宋_GBK" w:cs="方正仿宋_GBK"/>
          <w:kern w:val="2"/>
          <w:sz w:val="32"/>
          <w:szCs w:val="32"/>
          <w:lang w:val="en-US" w:eastAsia="zh-CN" w:bidi="ar-SA"/>
        </w:rPr>
        <w:t>京市工业和信息化局</w:t>
      </w:r>
    </w:p>
    <w:p>
      <w:pPr>
        <w:ind w:firstLine="640" w:firstLineChars="200"/>
        <w:rPr>
          <w:rFonts w:hint="default"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2020年1月28日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677747"/>
    <w:rsid w:val="76DE3F3F"/>
    <w:rsid w:val="796777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2020-01-29T02:53:00Z</dcterms:created>
  <dc:creator>HJY</dc:creator>
  <cp:lastModifiedBy>HJY</cp:lastModifiedBy>
  <dcterms:modified xsi:type="dcterms:W3CDTF">2020-01-29T04:24:59Z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