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</w:rPr>
        <w:t>雨花台区铁心桥街道202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</w:rPr>
        <w:t>年政府信息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</w:rPr>
        <w:t>公开工作年度报告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方正黑体_GBK" w:hAnsi="方正黑体_GBK" w:eastAsia="方正黑体_GBK" w:cs="方正黑体_GBK"/>
          <w:bCs/>
          <w:color w:val="auto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黑体_GBK" w:hAnsi="方正黑体_GBK" w:eastAsia="方正黑体_GBK" w:cs="方正黑体_GBK"/>
          <w:bCs/>
          <w:color w:val="auto"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color w:val="auto"/>
          <w:kern w:val="0"/>
          <w:sz w:val="30"/>
          <w:szCs w:val="30"/>
        </w:rPr>
        <w:t>一、总体情况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/>
        <w:textAlignment w:val="auto"/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202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年，在区委、区政府的坚强领导下，铁心桥街道全面贯彻落实《中华人民共和国政府信息公开条例》、《南京市政府信息公开规定》、《雨花台区202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年政务公开工作要点》等文件精神，持续打造公开透明的政府门户网站，全年共发布各类信息</w:t>
      </w:r>
      <w:r>
        <w:rPr>
          <w:rFonts w:hint="eastAsia" w:eastAsia="仿宋_GB2312" w:cs="Times New Roman"/>
          <w:bCs/>
          <w:color w:val="auto"/>
          <w:kern w:val="0"/>
          <w:sz w:val="30"/>
          <w:szCs w:val="30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条，其中发布人员项目招投标类公告6条，财政预算类信息1条，工作动态类信息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条，全年收到各类依申请公开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0"/>
          <w:szCs w:val="30"/>
        </w:rPr>
        <w:t>件，均妥善回复完毕。政务信息主动公开小组成员能够动态实时发布各类政务信息，及时快速的向公众分享街道工作动态及政策资讯，并定期梳理归纳网站信息，做好信息公开的规范化、标准化管理，对于发现的问题做到及时整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黑体_GBK" w:hAnsi="方正黑体_GBK" w:eastAsia="方正黑体_GBK" w:cs="方正黑体_GBK"/>
          <w:color w:val="auto"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color w:val="auto"/>
          <w:kern w:val="0"/>
          <w:sz w:val="30"/>
          <w:szCs w:val="30"/>
        </w:rPr>
        <w:t>二、主动公开政府信息情况</w:t>
      </w:r>
    </w:p>
    <w:tbl>
      <w:tblPr>
        <w:tblStyle w:val="3"/>
        <w:tblW w:w="97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本年</w:t>
            </w:r>
            <w:r>
              <w:rPr>
                <w:rFonts w:ascii="宋体" w:hAnsi="宋体" w:cs="Calibri"/>
                <w:color w:val="auto"/>
                <w:kern w:val="0"/>
                <w:sz w:val="28"/>
                <w:szCs w:val="30"/>
              </w:rPr>
              <w:t>制</w:t>
            </w: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发件</w:t>
            </w:r>
            <w:r>
              <w:rPr>
                <w:rFonts w:ascii="宋体" w:hAnsi="宋体" w:cs="Calibri"/>
                <w:color w:val="auto"/>
                <w:kern w:val="0"/>
                <w:sz w:val="28"/>
                <w:szCs w:val="30"/>
              </w:rPr>
              <w:t>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现行有效件</w:t>
            </w:r>
            <w:r>
              <w:rPr>
                <w:rFonts w:ascii="宋体" w:hAnsi="宋体" w:cs="Calibri"/>
                <w:color w:val="auto"/>
                <w:kern w:val="0"/>
                <w:sz w:val="28"/>
                <w:szCs w:val="30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8"/>
                <w:szCs w:val="3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8"/>
                <w:szCs w:val="30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ind w:firstLine="480"/>
        <w:rPr>
          <w:rFonts w:ascii="方正黑体_GBK" w:hAnsi="宋体" w:eastAsia="方正黑体_GBK" w:cs="宋体"/>
          <w:bCs/>
          <w:color w:val="auto"/>
          <w:kern w:val="0"/>
          <w:sz w:val="30"/>
          <w:szCs w:val="30"/>
        </w:rPr>
      </w:pPr>
      <w:r>
        <w:rPr>
          <w:rFonts w:hint="eastAsia" w:ascii="方正黑体_GBK" w:hAnsi="宋体" w:eastAsia="方正黑体_GBK" w:cs="宋体"/>
          <w:bCs/>
          <w:color w:val="auto"/>
          <w:kern w:val="0"/>
          <w:sz w:val="30"/>
          <w:szCs w:val="30"/>
        </w:rPr>
        <w:t>三、收到和处理政府信息公开申请情况</w:t>
      </w:r>
    </w:p>
    <w:tbl>
      <w:tblPr>
        <w:tblStyle w:val="3"/>
        <w:tblW w:w="9748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1014"/>
        <w:gridCol w:w="3154"/>
        <w:gridCol w:w="686"/>
        <w:gridCol w:w="686"/>
        <w:gridCol w:w="686"/>
        <w:gridCol w:w="686"/>
        <w:gridCol w:w="686"/>
        <w:gridCol w:w="686"/>
        <w:gridCol w:w="6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6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auto"/>
                <w:kern w:val="0"/>
                <w:sz w:val="24"/>
                <w:szCs w:val="24"/>
              </w:rPr>
              <w:t>（本列数据的勾稽关系为：第一项加第二项之和，等于第三项加第四项之和）</w:t>
            </w:r>
          </w:p>
        </w:tc>
        <w:tc>
          <w:tcPr>
            <w:tcW w:w="4802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6" w:type="dxa"/>
            <w:vMerge w:val="restart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自然人</w:t>
            </w:r>
          </w:p>
        </w:tc>
        <w:tc>
          <w:tcPr>
            <w:tcW w:w="3430" w:type="dxa"/>
            <w:gridSpan w:val="5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法人或其他组织</w:t>
            </w:r>
          </w:p>
        </w:tc>
        <w:tc>
          <w:tcPr>
            <w:tcW w:w="686" w:type="dxa"/>
            <w:vMerge w:val="restart"/>
            <w:tcBorders>
              <w:top w:val="single" w:color="auto" w:sz="8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企业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机构</w:t>
            </w:r>
          </w:p>
        </w:tc>
        <w:tc>
          <w:tcPr>
            <w:tcW w:w="68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社会公益组织</w:t>
            </w:r>
          </w:p>
        </w:tc>
        <w:tc>
          <w:tcPr>
            <w:tcW w:w="68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法律服务机构</w:t>
            </w:r>
          </w:p>
        </w:tc>
        <w:tc>
          <w:tcPr>
            <w:tcW w:w="68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其他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一、本年新收政府信息公开申请数量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78" w:type="dxa"/>
            <w:vMerge w:val="restart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三、本年度办理结果</w:t>
            </w:r>
          </w:p>
        </w:tc>
        <w:tc>
          <w:tcPr>
            <w:tcW w:w="416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（一）予以公开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（二）部分公开</w:t>
            </w:r>
            <w:r>
              <w:rPr>
                <w:rFonts w:hint="eastAsia" w:ascii="楷体" w:hAnsi="楷体" w:eastAsia="楷体" w:cs="宋体"/>
                <w:color w:val="auto"/>
                <w:kern w:val="0"/>
                <w:sz w:val="24"/>
                <w:szCs w:val="24"/>
              </w:rPr>
              <w:t>（区分处理的，只计这一情形，不计其他情形）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（三）不予公开</w:t>
            </w: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1.属于国家秘密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2.其他法律行政法规禁止公开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3.危及“三安全一稳定”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4.保护第三方合法权益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5.属于三类内部事务信息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6.属于四类过程性信息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7.属于行政执法案卷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8.属于行政查询事项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（四）无法提供</w:t>
            </w: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1.本机关不掌握相关政府信息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2.没有现成信息需要另行制作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3.补正后申请内容仍不明确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（五）不予处理</w:t>
            </w: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1.信访举报投诉类申请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2.重复申请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3.要求提供公开出版物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4.无正当理由大量反复申请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5.要求行政机关确认或重新出具已获取信息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single" w:color="auto" w:sz="0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inset" w:color="auto" w:sz="8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（六）其他处理</w:t>
            </w: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1.申请人无正当理由逾期不补正、行政机关不再处理其政府信息公开申请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inset" w:color="auto" w:sz="8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2.申请人逾期未按收费通知要求缴纳费用、行政机关不再处理其政府信息公开申请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inset" w:color="auto" w:sz="8" w:space="0"/>
              <w:left w:val="single" w:color="auto" w:sz="0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3.其他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0" w:space="0"/>
              <w:left w:val="single" w:color="auto" w:sz="8" w:space="0"/>
              <w:bottom w:val="inset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（七）总计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四、结转下年度继续办理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ind w:firstLine="480"/>
        <w:rPr>
          <w:rFonts w:ascii="方正黑体_GBK" w:hAnsi="宋体" w:eastAsia="方正黑体_GBK" w:cs="宋体"/>
          <w:bCs/>
          <w:color w:val="auto"/>
          <w:kern w:val="0"/>
          <w:sz w:val="30"/>
          <w:szCs w:val="30"/>
        </w:rPr>
      </w:pPr>
      <w:r>
        <w:rPr>
          <w:rFonts w:hint="eastAsia" w:ascii="方正黑体_GBK" w:hAnsi="宋体" w:eastAsia="方正黑体_GBK" w:cs="宋体"/>
          <w:bCs/>
          <w:color w:val="auto"/>
          <w:kern w:val="0"/>
          <w:sz w:val="30"/>
          <w:szCs w:val="30"/>
        </w:rPr>
        <w:t>四、政府信息公开行政复议、行政诉讼情况</w:t>
      </w:r>
    </w:p>
    <w:p>
      <w:pPr>
        <w:widowControl/>
        <w:shd w:val="clear" w:color="auto" w:fill="FFFFFF"/>
        <w:spacing w:line="400" w:lineRule="exact"/>
        <w:jc w:val="center"/>
        <w:rPr>
          <w:rFonts w:ascii="宋体" w:hAnsi="宋体" w:cs="宋体"/>
          <w:color w:val="auto"/>
          <w:kern w:val="0"/>
          <w:sz w:val="30"/>
          <w:szCs w:val="30"/>
        </w:rPr>
      </w:pPr>
    </w:p>
    <w:tbl>
      <w:tblPr>
        <w:tblStyle w:val="3"/>
        <w:tblW w:w="9748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2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其他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尚未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维持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其他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尚未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总计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维持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其他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尚未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黑体_GBK" w:hAnsi="宋体" w:eastAsia="方正黑体_GBK" w:cs="宋体"/>
          <w:bCs/>
          <w:color w:val="auto"/>
          <w:kern w:val="0"/>
          <w:sz w:val="30"/>
          <w:szCs w:val="30"/>
        </w:rPr>
      </w:pPr>
      <w:r>
        <w:rPr>
          <w:rFonts w:hint="eastAsia" w:ascii="方正黑体_GBK" w:hAnsi="宋体" w:eastAsia="方正黑体_GBK" w:cs="宋体"/>
          <w:bCs/>
          <w:color w:val="auto"/>
          <w:kern w:val="0"/>
          <w:sz w:val="30"/>
          <w:szCs w:val="30"/>
        </w:rPr>
        <w:t>五、存在的主要问题及改进情况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0"/>
          <w:szCs w:val="30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（一）</w:t>
      </w: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</w:rPr>
        <w:t>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default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一是政府信息主动公开的意识需要进一步强化。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受到岗位和能力限制，基层政府信息收集、汇总、分拣人力相对缺乏，对收集、制作或者引用的一些政府信息性质判断不准确，需要公开、需要存档的分辨不清。同时，基层人少事多，在政府信息公开上缺乏专岗和专门人才，在一定程度上制约政府信息公开工作的积极性和主动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二是政府信息归档保存的质量需要进一步提升。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突出表现在时间连续上出现空档，检索的目录繁多，对应归档尽归档的界限分辨不准确，往往是归档的文书较多，这给查找带来了一定麻烦。目前，街道的档案分为人事档案、文书档案、财政类档案，分散保管，不同系统检索，影响档案检索、查阅、使用效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三是依申请公开答复保障机制需要进一步完善。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政府信息公开申请，涉及的部门科室较多，在处理答复上，不排除推诿扯皮现象。有些申请事项时间较为久远，因机构改革，当初科室已合并或者已被撤销，这给答复带来一定困难。在回复内容上，既要满足申请人的信息需求，又要维护社会公平正义，在法律法规适用上必须合法合规，这些都需要不断改进完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（二）改进措施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一是抓好工作落实，强化责任意识。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抓好学习培训，将政务信息公开素质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列入工作人员基本能力提升范畴。抓好人员分工，选好用好政府信息工作的联络员，并在评先评优上给予倾斜。抓好责任落实，建立政府信息公开工作群、开好政府信息公开专题会、抓好政府信息工作讲评，将工作开展在平时、检查督促在平时、改进提高在平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default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二是改善硬件设施，提高质量水平。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落实专岗专用，最大可能保持人员的稳定性。更新软硬件设施，及时对接上级有关部门，抓好标准化档案库室建设，整合现有档案库室资源，抓好搜索软件兼容更新，提高软硬件的利用率。及时补充完善各类档案，定期归档整理，联络关联单位，抓好历史档案的检索收集，多举措提高政府信息公开服务保障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default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0"/>
          <w:szCs w:val="30"/>
          <w:lang w:val="en-US" w:eastAsia="zh-CN"/>
        </w:rPr>
        <w:t>三是理顺工作关系，畅通制度机制。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理顺责任关系，在回复内容提供、信息整合汇总、合法合规性审核，各部门科室按照职责分工抓好落实。抓好关联事项的会商办理，对多科室参与的，指定主办科室、协办科室，避免推诿扯皮。抓好重大事项的预审联审和合法性审查，既满足当事人的信息需求，又能兼顾社会公平正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Times New Roman" w:hAnsi="Times New Roman" w:eastAsia="方正仿宋简体"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0"/>
          <w:szCs w:val="30"/>
        </w:rPr>
        <w:t>六、其他需要报告的事项</w:t>
      </w:r>
      <w:r>
        <w:rPr>
          <w:rFonts w:hint="eastAsia" w:ascii="黑体" w:hAnsi="黑体" w:eastAsia="黑体" w:cs="黑体"/>
          <w:b w:val="0"/>
          <w:bCs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auto"/>
          <w:sz w:val="30"/>
          <w:szCs w:val="3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政府信息公开收费情况，本年度未收取任何政府信息公开处理费。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rPr>
          <w:rFonts w:hint="eastAsia" w:ascii="Times New Roman" w:hAnsi="Times New Roman" w:eastAsia="方正仿宋简体"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jc w:val="right"/>
        <w:textAlignment w:val="auto"/>
        <w:rPr>
          <w:rFonts w:hint="eastAsia" w:ascii="Times New Roman" w:hAnsi="Times New Roman" w:eastAsia="仿宋" w:cs="Times New Roman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 xml:space="preserve">              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</w:rPr>
        <w:t>雨花台区人民政府铁心桥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lang w:eastAsia="zh-CN"/>
        </w:rPr>
        <w:t>街道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</w:rPr>
        <w:t>办事处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500" w:firstLineChars="1500"/>
        <w:textAlignment w:val="auto"/>
        <w:rPr>
          <w:rFonts w:hint="eastAsia" w:ascii="Times New Roman" w:hAnsi="仿宋" w:eastAsia="仿宋" w:cs="Times New Roman"/>
          <w:color w:val="auto"/>
          <w:sz w:val="32"/>
          <w:szCs w:val="32"/>
        </w:rPr>
      </w:pPr>
      <w:r>
        <w:rPr>
          <w:rFonts w:hint="eastAsia" w:ascii="Times New Roman" w:hAnsi="仿宋" w:eastAsia="仿宋" w:cs="Times New Roman"/>
          <w:color w:val="auto"/>
          <w:sz w:val="30"/>
          <w:szCs w:val="30"/>
        </w:rPr>
        <w:t>20</w:t>
      </w:r>
      <w:r>
        <w:rPr>
          <w:rFonts w:hint="eastAsia" w:ascii="Times New Roman" w:hAnsi="仿宋" w:eastAsia="仿宋" w:cs="Times New Roman"/>
          <w:color w:val="auto"/>
          <w:sz w:val="30"/>
          <w:szCs w:val="30"/>
          <w:lang w:val="en-US" w:eastAsia="zh-CN"/>
        </w:rPr>
        <w:t>2</w:t>
      </w:r>
      <w:r>
        <w:rPr>
          <w:rFonts w:hint="eastAsia" w:hAnsi="仿宋" w:eastAsia="仿宋" w:cs="Times New Roman"/>
          <w:color w:val="auto"/>
          <w:sz w:val="30"/>
          <w:szCs w:val="30"/>
          <w:lang w:val="en-US" w:eastAsia="zh-CN"/>
        </w:rPr>
        <w:t>4</w:t>
      </w:r>
      <w:r>
        <w:rPr>
          <w:rFonts w:ascii="Times New Roman" w:hAnsi="仿宋" w:eastAsia="仿宋" w:cs="Times New Roman"/>
          <w:color w:val="auto"/>
          <w:sz w:val="30"/>
          <w:szCs w:val="30"/>
        </w:rPr>
        <w:t>年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lang w:val="en-US" w:eastAsia="zh-CN"/>
        </w:rPr>
        <w:t>1</w:t>
      </w:r>
      <w:r>
        <w:rPr>
          <w:rFonts w:ascii="Times New Roman" w:hAnsi="仿宋" w:eastAsia="仿宋" w:cs="Times New Roman"/>
          <w:color w:val="auto"/>
          <w:sz w:val="30"/>
          <w:szCs w:val="30"/>
        </w:rPr>
        <w:t>月</w:t>
      </w:r>
      <w:r>
        <w:rPr>
          <w:rFonts w:hint="eastAsia" w:ascii="Times New Roman" w:hAnsi="Times New Roman" w:eastAsia="仿宋" w:cs="Times New Roman"/>
          <w:color w:val="auto"/>
          <w:sz w:val="30"/>
          <w:szCs w:val="30"/>
          <w:lang w:val="en-US" w:eastAsia="zh-CN"/>
        </w:rPr>
        <w:t>2</w:t>
      </w:r>
      <w:r>
        <w:rPr>
          <w:rFonts w:hint="eastAsia" w:eastAsia="仿宋" w:cs="Times New Roman"/>
          <w:color w:val="auto"/>
          <w:sz w:val="30"/>
          <w:szCs w:val="30"/>
          <w:lang w:val="en-US" w:eastAsia="zh-CN"/>
        </w:rPr>
        <w:t>3</w:t>
      </w:r>
      <w:r>
        <w:rPr>
          <w:rFonts w:ascii="Times New Roman" w:hAnsi="仿宋" w:eastAsia="仿宋" w:cs="Times New Roman"/>
          <w:color w:val="auto"/>
          <w:sz w:val="30"/>
          <w:szCs w:val="30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1B22A0-5DF7-49FF-9630-0CDDDDAE828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2466F39-DD85-4A57-8F54-45073B04CD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8290CF-08C3-4138-9668-7C98C537A4F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9AA3B5A-BF8C-45D8-AD27-57A5CD6AEA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6D1874-E3E2-4C60-96CF-7904589E95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A3965E5-3D52-4DE9-8456-1D4D7E17B85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43AA391-59F9-4BA6-BC3F-D8EA635EBEB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A7E506A-BA2E-47E3-8A31-99DE74B34C5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0468BD0-3F4F-489B-8281-86444491DB7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2FE063C-30BB-4333-BFB6-48F18293FD7D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4C971A3B-881B-4DBA-ABAB-A04404988629}"/>
  </w:font>
  <w:font w:name="方正仿宋简体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2" w:fontKey="{1505518B-6984-4CA4-B11D-57FB27CCB16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6909CD9D-3458-47F5-99BA-18EE6FA6A52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mMWQ1NDM2MmMyOTNhMGRlZTRhZmU3YWNmMTI0ZDAifQ=="/>
  </w:docVars>
  <w:rsids>
    <w:rsidRoot w:val="00000000"/>
    <w:rsid w:val="0377429C"/>
    <w:rsid w:val="04023944"/>
    <w:rsid w:val="09E90BC6"/>
    <w:rsid w:val="0B3441B3"/>
    <w:rsid w:val="1C043123"/>
    <w:rsid w:val="1FDB1F21"/>
    <w:rsid w:val="2DD138B2"/>
    <w:rsid w:val="33FE27B0"/>
    <w:rsid w:val="350D1006"/>
    <w:rsid w:val="376A0365"/>
    <w:rsid w:val="3BA2055B"/>
    <w:rsid w:val="44CE0BF8"/>
    <w:rsid w:val="481D0E7B"/>
    <w:rsid w:val="48403BBB"/>
    <w:rsid w:val="4AFB026D"/>
    <w:rsid w:val="508C421C"/>
    <w:rsid w:val="54DB33CA"/>
    <w:rsid w:val="57914433"/>
    <w:rsid w:val="5C8F27B1"/>
    <w:rsid w:val="6324615B"/>
    <w:rsid w:val="655A2308"/>
    <w:rsid w:val="676B07FC"/>
    <w:rsid w:val="69BB6AC7"/>
    <w:rsid w:val="71DE794F"/>
    <w:rsid w:val="78252301"/>
    <w:rsid w:val="7A7F1825"/>
    <w:rsid w:val="7BC0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2168</Words>
  <Characters>2211</Characters>
  <Lines>0</Lines>
  <Paragraphs>0</Paragraphs>
  <TotalTime>677</TotalTime>
  <ScaleCrop>false</ScaleCrop>
  <LinksUpToDate>false</LinksUpToDate>
  <CharactersWithSpaces>2228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2021-01-22T00:59:00Z</dcterms:created>
  <dc:creator>Administrator</dc:creator>
  <cp:lastModifiedBy>宋铁山</cp:lastModifiedBy>
  <cp:lastPrinted>2024-01-24T02:27:09Z</cp:lastPrinted>
  <dcterms:modified xsi:type="dcterms:W3CDTF">2024-01-24T06:42:29Z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0_embed</vt:lpwstr>
  </property>
  <property fmtid="{D5CDD505-2E9C-101B-9397-08002B2CF9AE}" pid="4" name="ICV">
    <vt:lpwstr>5C645E43424B44CE9959F8E4471AED62_13</vt:lpwstr>
  </property>
</Properties>
</file>