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关于2022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政府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信息公开工作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的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报告</w:t>
      </w:r>
    </w:p>
    <w:p>
      <w:pPr>
        <w:spacing w:line="240" w:lineRule="auto"/>
        <w:ind w:firstLine="640" w:firstLineChars="200"/>
        <w:rPr>
          <w:rFonts w:hint="eastAsia" w:ascii="仿宋_GB2312" w:hAnsi="微软雅黑" w:eastAsia="仿宋_GB2312"/>
          <w:color w:val="444444"/>
          <w:sz w:val="32"/>
          <w:szCs w:val="32"/>
        </w:rPr>
      </w:pPr>
    </w:p>
    <w:p>
      <w:pPr>
        <w:spacing w:line="240" w:lineRule="auto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auto"/>
          <w:sz w:val="32"/>
          <w:szCs w:val="32"/>
        </w:rPr>
        <w:t>20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年，区人防办坚持以习近平新时代中国特色社会主义思想为指导，认真贯彻落实《中华人民共和国政府信息公开条例》，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紧紧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围绕区委、区政府的中心工作，拓展信息渠道，深化信息内容，有效提升了信息质量和信息服务水平。</w:t>
      </w:r>
    </w:p>
    <w:p>
      <w:pPr>
        <w:numPr>
          <w:ilvl w:val="0"/>
          <w:numId w:val="1"/>
        </w:numPr>
        <w:spacing w:line="240" w:lineRule="auto"/>
        <w:ind w:firstLine="600" w:firstLineChars="200"/>
        <w:rPr>
          <w:rFonts w:hint="eastAsia" w:ascii="黑体" w:hAnsi="黑体" w:eastAsia="黑体" w:cs="黑体"/>
          <w:b w:val="0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</w:rPr>
        <w:t>总体情况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一是对政务信息公开工作运行模式、人员配备、管理办法、工作职能、目标要求进行了规范，提高了政府信息公开工作效率，保证了政府信息公开工作质量。二是坚持把政府门户网站作为信息公开的第一平台，不断优化功能，做到政府信息公开渠道畅通、方便快捷。根据人防工作实际，</w:t>
      </w: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及时发布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信息；三是不断丰富政府信息公开载体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先后通过政府网站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电视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台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等载体，发布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人防活动信息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二、主动公开政府信息情况</w:t>
      </w:r>
    </w:p>
    <w:tbl>
      <w:tblPr>
        <w:tblStyle w:val="6"/>
        <w:tblW w:w="90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"/>
        <w:gridCol w:w="2258"/>
        <w:gridCol w:w="581"/>
        <w:gridCol w:w="1677"/>
        <w:gridCol w:w="61"/>
        <w:gridCol w:w="6"/>
        <w:gridCol w:w="1172"/>
        <w:gridCol w:w="1019"/>
        <w:gridCol w:w="2258"/>
        <w:gridCol w:w="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903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2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color w:val="auto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color w:val="auto"/>
                <w:kern w:val="0"/>
                <w:sz w:val="28"/>
                <w:szCs w:val="30"/>
              </w:rPr>
              <w:t>数</w:t>
            </w:r>
          </w:p>
        </w:tc>
        <w:tc>
          <w:tcPr>
            <w:tcW w:w="22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2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color w:val="auto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规章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9032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67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9032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677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9032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7" w:type="dxa"/>
          <w:wAfter w:w="3" w:type="dxa"/>
          <w:trHeight w:val="340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95" w:hRule="atLeast"/>
          <w:jc w:val="center"/>
        </w:trPr>
        <w:tc>
          <w:tcPr>
            <w:tcW w:w="9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82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3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71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ind w:firstLine="800" w:firstLineChars="400"/>
              <w:jc w:val="both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0" w:hRule="atLeast"/>
          <w:jc w:val="center"/>
        </w:trPr>
        <w:tc>
          <w:tcPr>
            <w:tcW w:w="9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4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8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0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06" w:hRule="atLeast"/>
          <w:jc w:val="center"/>
        </w:trPr>
        <w:tc>
          <w:tcPr>
            <w:tcW w:w="9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4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30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09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ind w:firstLine="400" w:firstLineChars="200"/>
              <w:jc w:val="both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74" w:hRule="atLeast"/>
          <w:jc w:val="center"/>
        </w:trPr>
        <w:tc>
          <w:tcPr>
            <w:tcW w:w="9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70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4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4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color w:val="auto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3"/>
        <w:gridCol w:w="2084"/>
        <w:gridCol w:w="814"/>
        <w:gridCol w:w="755"/>
        <w:gridCol w:w="755"/>
        <w:gridCol w:w="814"/>
        <w:gridCol w:w="974"/>
        <w:gridCol w:w="712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5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35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三、本年度办理结果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（三）不予公开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eastAsia="方正楷体简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eastAsia="方正楷体简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sz w:val="20"/>
                <w:szCs w:val="20"/>
              </w:rPr>
              <w:t>（四）无法提供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eastAsia="方正楷体简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eastAsia="方正楷体简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sz w:val="20"/>
                <w:szCs w:val="20"/>
              </w:rPr>
              <w:t>（五）不予处理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eastAsia="方正楷体简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eastAsia="方正楷体简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color w:val="auto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auto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auto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auto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color w:val="auto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五、存在的主要问题及改进情况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在工作中还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存在以下问题：一是对政府信息公开相关制度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学习不够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。二是政务信息</w:t>
      </w: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业务培训不经常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。三是缺乏专业技术人员，电子政务技术力量不够，电子政务应用系统操作水平不高。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针对以上问题，下一步</w:t>
      </w: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加以改进：一是</w:t>
      </w: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加强学习，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配强信息人员。二是</w:t>
      </w: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加强信息公开业务知识学习，熟悉相关的法律规定和最新要求，确保依法组织信息公开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。三是注重信息时效，主动提前介入，收集相关资料，提供超前性信息服务。四是注重日常技术维护，确保网络稳定运行。加强安全技术和手段的应用，不断提高对网络攻击、病毒入侵、系统故障等风险的安全防范和应急处置能力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无</w:t>
      </w:r>
    </w:p>
    <w:p>
      <w:pPr>
        <w:pStyle w:val="2"/>
        <w:rPr>
          <w:rFonts w:hint="eastAsia"/>
          <w:color w:val="auto"/>
          <w:lang w:eastAsia="zh-CN"/>
        </w:rPr>
      </w:pPr>
    </w:p>
    <w:p>
      <w:pPr>
        <w:spacing w:line="560" w:lineRule="exact"/>
        <w:ind w:firstLine="3520" w:firstLineChars="1100"/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南京市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雨花台区人民防空办公室</w:t>
      </w:r>
    </w:p>
    <w:p>
      <w:pPr>
        <w:spacing w:line="560" w:lineRule="exact"/>
        <w:ind w:firstLine="4480" w:firstLineChars="1400"/>
        <w:rPr>
          <w:rFonts w:hint="default" w:ascii="仿宋_GB2312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年1月</w:t>
      </w:r>
      <w:r>
        <w:rPr>
          <w:rFonts w:hint="eastAsia" w:ascii="仿宋_GB2312" w:hAnsi="微软雅黑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黑体"/>
          <w:color w:val="auto"/>
          <w:kern w:val="0"/>
          <w:szCs w:val="32"/>
        </w:rPr>
      </w:pPr>
      <w:r>
        <w:rPr>
          <w:rFonts w:hint="eastAsia" w:ascii="新宋体" w:hAnsi="新宋体" w:eastAsia="新宋体" w:cs="新宋体"/>
          <w:color w:val="auto"/>
          <w:szCs w:val="32"/>
        </w:rPr>
        <w:t xml:space="preserve">   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197D8"/>
    <w:multiLevelType w:val="singleLevel"/>
    <w:tmpl w:val="16B197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ZTNiNjdkOTE4MjM1ZDJjMzZhYWRmMjk5MTEzYTAifQ=="/>
  </w:docVars>
  <w:rsids>
    <w:rsidRoot w:val="00000000"/>
    <w:rsid w:val="022322B7"/>
    <w:rsid w:val="037A0537"/>
    <w:rsid w:val="073D745B"/>
    <w:rsid w:val="0A4F39A3"/>
    <w:rsid w:val="0AA444D2"/>
    <w:rsid w:val="0AE16E3E"/>
    <w:rsid w:val="0CBF29AD"/>
    <w:rsid w:val="12C6275E"/>
    <w:rsid w:val="14454AF6"/>
    <w:rsid w:val="17A27423"/>
    <w:rsid w:val="18AF30A9"/>
    <w:rsid w:val="18ED374F"/>
    <w:rsid w:val="1D425C68"/>
    <w:rsid w:val="1E3B03BF"/>
    <w:rsid w:val="1E5E6E60"/>
    <w:rsid w:val="23A67E78"/>
    <w:rsid w:val="256E553A"/>
    <w:rsid w:val="28610316"/>
    <w:rsid w:val="2A6C4BC9"/>
    <w:rsid w:val="2ABF0DE8"/>
    <w:rsid w:val="2F52710A"/>
    <w:rsid w:val="32E376B4"/>
    <w:rsid w:val="34401EEF"/>
    <w:rsid w:val="352340D6"/>
    <w:rsid w:val="35E6725B"/>
    <w:rsid w:val="381A2258"/>
    <w:rsid w:val="39DC34D0"/>
    <w:rsid w:val="3B8A13A2"/>
    <w:rsid w:val="3C5F7691"/>
    <w:rsid w:val="3DE431D0"/>
    <w:rsid w:val="3EDC794C"/>
    <w:rsid w:val="3EE21DFC"/>
    <w:rsid w:val="405A3FB5"/>
    <w:rsid w:val="423E2B31"/>
    <w:rsid w:val="47427922"/>
    <w:rsid w:val="477C6B53"/>
    <w:rsid w:val="481075AF"/>
    <w:rsid w:val="4A560ABD"/>
    <w:rsid w:val="4AA420DC"/>
    <w:rsid w:val="4C0033F1"/>
    <w:rsid w:val="4C4E590D"/>
    <w:rsid w:val="4E8A77B5"/>
    <w:rsid w:val="4FF9229D"/>
    <w:rsid w:val="50FB1962"/>
    <w:rsid w:val="516471C6"/>
    <w:rsid w:val="51CC0621"/>
    <w:rsid w:val="52965993"/>
    <w:rsid w:val="5595792B"/>
    <w:rsid w:val="56855D1F"/>
    <w:rsid w:val="57A0790C"/>
    <w:rsid w:val="57A11CD4"/>
    <w:rsid w:val="57B96A94"/>
    <w:rsid w:val="5E1166BE"/>
    <w:rsid w:val="5E1D7E1D"/>
    <w:rsid w:val="604F2486"/>
    <w:rsid w:val="6172569D"/>
    <w:rsid w:val="63F766A2"/>
    <w:rsid w:val="64F642C1"/>
    <w:rsid w:val="65BB319C"/>
    <w:rsid w:val="66940D8F"/>
    <w:rsid w:val="66CE5A0A"/>
    <w:rsid w:val="67D9247C"/>
    <w:rsid w:val="68DE2B2D"/>
    <w:rsid w:val="69104987"/>
    <w:rsid w:val="695E1926"/>
    <w:rsid w:val="6EE86514"/>
    <w:rsid w:val="6F163E95"/>
    <w:rsid w:val="719F4D4B"/>
    <w:rsid w:val="7213138E"/>
    <w:rsid w:val="73BF5A68"/>
    <w:rsid w:val="76596307"/>
    <w:rsid w:val="77F27F66"/>
    <w:rsid w:val="7B693324"/>
    <w:rsid w:val="7B7D43C2"/>
    <w:rsid w:val="7D321331"/>
    <w:rsid w:val="7D7C2DE5"/>
    <w:rsid w:val="7F28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center"/>
      <w:outlineLvl w:val="0"/>
    </w:pPr>
    <w:rPr>
      <w:rFonts w:ascii="宋体" w:hAnsi="宋体" w:cs="宋体"/>
      <w:b/>
      <w:bCs/>
      <w:kern w:val="36"/>
      <w:sz w:val="25"/>
      <w:szCs w:val="25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unhideWhenUsed/>
    <w:qFormat/>
    <w:uiPriority w:val="99"/>
  </w:style>
  <w:style w:type="paragraph" w:customStyle="1" w:styleId="10">
    <w:name w:val="Body text|1"/>
    <w:basedOn w:val="1"/>
    <w:qFormat/>
    <w:uiPriority w:val="0"/>
    <w:pPr>
      <w:spacing w:line="398" w:lineRule="auto"/>
      <w:ind w:firstLine="400"/>
      <w:jc w:val="left"/>
    </w:pPr>
    <w:rPr>
      <w:rFonts w:ascii="宋体" w:hAnsi="宋体" w:eastAsia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1611</Words>
  <Characters>1640</Characters>
  <Lines>0</Lines>
  <Paragraphs>0</Paragraphs>
  <TotalTime>128</TotalTime>
  <ScaleCrop>false</ScaleCrop>
  <LinksUpToDate>false</LinksUpToDate>
  <CharactersWithSpaces>1673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Administrator.CN-20181011NBUQ</dc:creator>
  <cp:lastModifiedBy>zhkzb</cp:lastModifiedBy>
  <cp:lastPrinted>2023-01-28T06:17:00Z</cp:lastPrinted>
  <dcterms:modified xsi:type="dcterms:W3CDTF">2023-01-28T06:27:03Z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477B2D76481D48FB9DC7D89A1007A213</vt:lpwstr>
  </property>
</Properties>
</file>