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FA7" w:rsidRDefault="00115616">
      <w:pPr>
        <w:pStyle w:val="a5"/>
        <w:widowControl/>
        <w:shd w:val="clear" w:color="auto" w:fill="FFFFFF"/>
        <w:spacing w:beforeAutospacing="0" w:afterAutospacing="0" w:line="500" w:lineRule="exact"/>
        <w:jc w:val="center"/>
        <w:rPr>
          <w:rFonts w:ascii="宋体" w:eastAsia="宋体" w:hAnsi="宋体" w:cs="宋体"/>
          <w:b/>
          <w:bCs/>
          <w:color w:val="333333"/>
          <w:sz w:val="36"/>
          <w:szCs w:val="36"/>
          <w:shd w:val="clear" w:color="auto" w:fill="FFFFFF"/>
        </w:rPr>
      </w:pPr>
      <w:r>
        <w:rPr>
          <w:rFonts w:ascii="宋体" w:eastAsia="宋体" w:hAnsi="宋体" w:cs="宋体" w:hint="eastAsia"/>
          <w:b/>
          <w:bCs/>
          <w:color w:val="333333"/>
          <w:sz w:val="36"/>
          <w:szCs w:val="36"/>
          <w:shd w:val="clear" w:color="auto" w:fill="FFFFFF"/>
        </w:rPr>
        <w:t>南京市玄武区人民政府</w:t>
      </w:r>
    </w:p>
    <w:p w:rsidR="00AD3FA7" w:rsidRDefault="00115616">
      <w:pPr>
        <w:pStyle w:val="a5"/>
        <w:widowControl/>
        <w:shd w:val="clear" w:color="auto" w:fill="FFFFFF"/>
        <w:spacing w:beforeAutospacing="0" w:afterAutospacing="0" w:line="500" w:lineRule="exact"/>
        <w:jc w:val="center"/>
        <w:rPr>
          <w:rFonts w:ascii="宋体" w:eastAsia="宋体" w:hAnsi="宋体" w:cs="宋体"/>
          <w:b/>
          <w:bCs/>
          <w:color w:val="333333"/>
          <w:sz w:val="36"/>
          <w:szCs w:val="36"/>
          <w:shd w:val="clear" w:color="auto" w:fill="FFFFFF"/>
        </w:rPr>
      </w:pPr>
      <w:r>
        <w:rPr>
          <w:rFonts w:ascii="宋体" w:eastAsia="宋体" w:hAnsi="宋体" w:cs="宋体" w:hint="eastAsia"/>
          <w:b/>
          <w:bCs/>
          <w:color w:val="333333"/>
          <w:sz w:val="36"/>
          <w:szCs w:val="36"/>
          <w:shd w:val="clear" w:color="auto" w:fill="FFFFFF"/>
        </w:rPr>
        <w:t>202</w:t>
      </w:r>
      <w:r>
        <w:rPr>
          <w:rFonts w:ascii="宋体" w:eastAsia="宋体" w:hAnsi="宋体" w:cs="宋体" w:hint="eastAsia"/>
          <w:b/>
          <w:bCs/>
          <w:color w:val="333333"/>
          <w:sz w:val="36"/>
          <w:szCs w:val="36"/>
          <w:shd w:val="clear" w:color="auto" w:fill="FFFFFF"/>
        </w:rPr>
        <w:t>1</w:t>
      </w:r>
      <w:r>
        <w:rPr>
          <w:rFonts w:ascii="宋体" w:eastAsia="宋体" w:hAnsi="宋体" w:cs="宋体" w:hint="eastAsia"/>
          <w:b/>
          <w:bCs/>
          <w:color w:val="333333"/>
          <w:sz w:val="36"/>
          <w:szCs w:val="36"/>
          <w:shd w:val="clear" w:color="auto" w:fill="FFFFFF"/>
        </w:rPr>
        <w:t>年政府信息公开工作年度报告</w:t>
      </w:r>
    </w:p>
    <w:p w:rsidR="00AD3FA7" w:rsidRDefault="00AD3FA7">
      <w:pPr>
        <w:pStyle w:val="a5"/>
        <w:widowControl/>
        <w:shd w:val="clear" w:color="auto" w:fill="FFFFFF"/>
        <w:spacing w:beforeAutospacing="0" w:afterAutospacing="0"/>
        <w:jc w:val="center"/>
        <w:rPr>
          <w:rFonts w:ascii="宋体" w:eastAsia="宋体" w:hAnsi="宋体" w:cs="宋体"/>
          <w:b/>
          <w:bCs/>
          <w:color w:val="333333"/>
          <w:sz w:val="36"/>
          <w:szCs w:val="36"/>
          <w:shd w:val="clear" w:color="auto" w:fill="FFFFFF"/>
        </w:rPr>
      </w:pP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本年度报告根据《中华人民共和国政府信息公开条例》（以下简称《条例》）、</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国务院办公厅政府信息与政务公开办公室关于印发</w:t>
      </w:r>
      <w:r>
        <w:rPr>
          <w:rFonts w:ascii="Times New Roman" w:eastAsia="宋体" w:hAnsi="Times New Roman"/>
          <w:szCs w:val="24"/>
          <w:shd w:val="clear" w:color="auto" w:fill="FFFFFF"/>
        </w:rPr>
        <w:t>&lt;</w:t>
      </w:r>
      <w:r>
        <w:rPr>
          <w:rFonts w:ascii="Times New Roman" w:eastAsia="宋体" w:hAnsi="Times New Roman"/>
          <w:szCs w:val="24"/>
          <w:shd w:val="clear" w:color="auto" w:fill="FFFFFF"/>
        </w:rPr>
        <w:t>中华人民共和国政府信息公开工作年度报告格式</w:t>
      </w:r>
      <w:r>
        <w:rPr>
          <w:rFonts w:ascii="Times New Roman" w:eastAsia="宋体" w:hAnsi="Times New Roman"/>
          <w:szCs w:val="24"/>
          <w:shd w:val="clear" w:color="auto" w:fill="FFFFFF"/>
        </w:rPr>
        <w:t>&gt;</w:t>
      </w:r>
      <w:r>
        <w:rPr>
          <w:rFonts w:ascii="Times New Roman" w:eastAsia="宋体" w:hAnsi="Times New Roman"/>
          <w:szCs w:val="24"/>
          <w:shd w:val="clear" w:color="auto" w:fill="FFFFFF"/>
        </w:rPr>
        <w:t>的通知</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国办公开办函〔</w:t>
      </w:r>
      <w:r>
        <w:rPr>
          <w:rFonts w:ascii="Times New Roman" w:eastAsia="宋体" w:hAnsi="Times New Roman"/>
          <w:szCs w:val="24"/>
          <w:shd w:val="clear" w:color="auto" w:fill="FFFFFF"/>
        </w:rPr>
        <w:t>2021</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30</w:t>
      </w:r>
      <w:r>
        <w:rPr>
          <w:rFonts w:ascii="Times New Roman" w:eastAsia="宋体" w:hAnsi="Times New Roman"/>
          <w:szCs w:val="24"/>
          <w:shd w:val="clear" w:color="auto" w:fill="FFFFFF"/>
        </w:rPr>
        <w:t>号</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和省市有关要求，由南京市玄武区人民政府办公室汇总编制。全文包括总体情况、主动公开政府信息情况、收到和处理政府信息公开申请情况、政府信息公开行政复议和行政诉讼情况、存在的主要问题及改进情况、其他需要报告的事项共六个部分。本年度报告所列数据统计期限自</w:t>
      </w:r>
      <w:r>
        <w:rPr>
          <w:rFonts w:ascii="Times New Roman" w:eastAsia="宋体" w:hAnsi="Times New Roman"/>
          <w:szCs w:val="24"/>
          <w:shd w:val="clear" w:color="auto" w:fill="FFFFFF"/>
        </w:rPr>
        <w:t>202</w:t>
      </w:r>
      <w:r>
        <w:rPr>
          <w:rFonts w:ascii="Times New Roman" w:eastAsia="宋体" w:hAnsi="Times New Roman"/>
          <w:szCs w:val="24"/>
          <w:shd w:val="clear" w:color="auto" w:fill="FFFFFF"/>
        </w:rPr>
        <w:t>1</w:t>
      </w:r>
      <w:r>
        <w:rPr>
          <w:rFonts w:ascii="Times New Roman" w:eastAsia="宋体" w:hAnsi="Times New Roman"/>
          <w:szCs w:val="24"/>
          <w:shd w:val="clear" w:color="auto" w:fill="FFFFFF"/>
        </w:rPr>
        <w:t>年</w:t>
      </w:r>
      <w:r>
        <w:rPr>
          <w:rFonts w:ascii="Times New Roman" w:eastAsia="宋体" w:hAnsi="Times New Roman"/>
          <w:szCs w:val="24"/>
          <w:shd w:val="clear" w:color="auto" w:fill="FFFFFF"/>
        </w:rPr>
        <w:t>1</w:t>
      </w:r>
      <w:r>
        <w:rPr>
          <w:rFonts w:ascii="Times New Roman" w:eastAsia="宋体" w:hAnsi="Times New Roman"/>
          <w:szCs w:val="24"/>
          <w:shd w:val="clear" w:color="auto" w:fill="FFFFFF"/>
        </w:rPr>
        <w:t>月</w:t>
      </w:r>
      <w:r>
        <w:rPr>
          <w:rFonts w:ascii="Times New Roman" w:eastAsia="宋体" w:hAnsi="Times New Roman"/>
          <w:szCs w:val="24"/>
          <w:shd w:val="clear" w:color="auto" w:fill="FFFFFF"/>
        </w:rPr>
        <w:t>1</w:t>
      </w:r>
      <w:r>
        <w:rPr>
          <w:rFonts w:ascii="Times New Roman" w:eastAsia="宋体" w:hAnsi="Times New Roman"/>
          <w:szCs w:val="24"/>
          <w:shd w:val="clear" w:color="auto" w:fill="FFFFFF"/>
        </w:rPr>
        <w:t>日起至</w:t>
      </w:r>
      <w:r>
        <w:rPr>
          <w:rFonts w:ascii="Times New Roman" w:eastAsia="宋体" w:hAnsi="Times New Roman"/>
          <w:szCs w:val="24"/>
          <w:shd w:val="clear" w:color="auto" w:fill="FFFFFF"/>
        </w:rPr>
        <w:t>202</w:t>
      </w:r>
      <w:r>
        <w:rPr>
          <w:rFonts w:ascii="Times New Roman" w:eastAsia="宋体" w:hAnsi="Times New Roman"/>
          <w:szCs w:val="24"/>
          <w:shd w:val="clear" w:color="auto" w:fill="FFFFFF"/>
        </w:rPr>
        <w:t>1</w:t>
      </w:r>
      <w:r>
        <w:rPr>
          <w:rFonts w:ascii="Times New Roman" w:eastAsia="宋体" w:hAnsi="Times New Roman"/>
          <w:szCs w:val="24"/>
          <w:shd w:val="clear" w:color="auto" w:fill="FFFFFF"/>
        </w:rPr>
        <w:t>年</w:t>
      </w:r>
      <w:r>
        <w:rPr>
          <w:rFonts w:ascii="Times New Roman" w:eastAsia="宋体" w:hAnsi="Times New Roman"/>
          <w:szCs w:val="24"/>
          <w:shd w:val="clear" w:color="auto" w:fill="FFFFFF"/>
        </w:rPr>
        <w:t>12</w:t>
      </w:r>
      <w:r>
        <w:rPr>
          <w:rFonts w:ascii="Times New Roman" w:eastAsia="宋体" w:hAnsi="Times New Roman"/>
          <w:szCs w:val="24"/>
          <w:shd w:val="clear" w:color="auto" w:fill="FFFFFF"/>
        </w:rPr>
        <w:t>月</w:t>
      </w:r>
      <w:r>
        <w:rPr>
          <w:rFonts w:ascii="Times New Roman" w:eastAsia="宋体" w:hAnsi="Times New Roman"/>
          <w:szCs w:val="24"/>
          <w:shd w:val="clear" w:color="auto" w:fill="FFFFFF"/>
        </w:rPr>
        <w:t>31</w:t>
      </w:r>
      <w:r>
        <w:rPr>
          <w:rFonts w:ascii="Times New Roman" w:eastAsia="宋体" w:hAnsi="Times New Roman"/>
          <w:szCs w:val="24"/>
          <w:shd w:val="clear" w:color="auto" w:fill="FFFFFF"/>
        </w:rPr>
        <w:t>日止。本年度报告电子版可在南京市玄武区政府网站政府信息公开专栏下载。如对本报告有任何疑问，请与南京市玄武区人民政府办公室联系。联系地址：南京市玄武区珠江路</w:t>
      </w:r>
      <w:r>
        <w:rPr>
          <w:rFonts w:ascii="Times New Roman" w:eastAsia="宋体" w:hAnsi="Times New Roman"/>
          <w:szCs w:val="24"/>
          <w:shd w:val="clear" w:color="auto" w:fill="FFFFFF"/>
        </w:rPr>
        <w:t>455</w:t>
      </w:r>
      <w:r>
        <w:rPr>
          <w:rFonts w:ascii="Times New Roman" w:eastAsia="宋体" w:hAnsi="Times New Roman"/>
          <w:szCs w:val="24"/>
          <w:shd w:val="clear" w:color="auto" w:fill="FFFFFF"/>
        </w:rPr>
        <w:t>号；邮政编码：</w:t>
      </w:r>
      <w:r>
        <w:rPr>
          <w:rFonts w:ascii="Times New Roman" w:eastAsia="宋体" w:hAnsi="Times New Roman"/>
          <w:szCs w:val="24"/>
          <w:shd w:val="clear" w:color="auto" w:fill="FFFFFF"/>
        </w:rPr>
        <w:t>210018</w:t>
      </w:r>
      <w:r>
        <w:rPr>
          <w:rFonts w:ascii="Times New Roman" w:eastAsia="宋体" w:hAnsi="Times New Roman"/>
          <w:szCs w:val="24"/>
          <w:shd w:val="clear" w:color="auto" w:fill="FFFFFF"/>
        </w:rPr>
        <w:t>；咨询电话：</w:t>
      </w:r>
      <w:r>
        <w:rPr>
          <w:rFonts w:ascii="Times New Roman" w:eastAsia="宋体" w:hAnsi="Times New Roman"/>
          <w:szCs w:val="24"/>
          <w:shd w:val="clear" w:color="auto" w:fill="FFFFFF"/>
        </w:rPr>
        <w:t>025-83682</w:t>
      </w:r>
      <w:r>
        <w:rPr>
          <w:rFonts w:ascii="Times New Roman" w:eastAsia="宋体" w:hAnsi="Times New Roman"/>
          <w:szCs w:val="24"/>
          <w:shd w:val="clear" w:color="auto" w:fill="FFFFFF"/>
        </w:rPr>
        <w:t>211</w:t>
      </w:r>
      <w:r>
        <w:rPr>
          <w:rFonts w:ascii="Times New Roman" w:eastAsia="宋体" w:hAnsi="Times New Roman"/>
          <w:szCs w:val="24"/>
          <w:shd w:val="clear" w:color="auto" w:fill="FFFFFF"/>
        </w:rPr>
        <w:t>。</w:t>
      </w:r>
      <w:bookmarkStart w:id="0" w:name="_GoBack"/>
      <w:bookmarkEnd w:id="0"/>
    </w:p>
    <w:p w:rsidR="00AD3FA7" w:rsidRDefault="00115616">
      <w:pPr>
        <w:pStyle w:val="a5"/>
        <w:widowControl/>
        <w:shd w:val="clear" w:color="auto" w:fill="FFFFFF"/>
        <w:spacing w:beforeAutospacing="0" w:afterAutospacing="0"/>
        <w:ind w:firstLineChars="200" w:firstLine="482"/>
        <w:jc w:val="both"/>
        <w:rPr>
          <w:rFonts w:ascii="宋体" w:eastAsia="宋体" w:hAnsi="宋体" w:cs="宋体"/>
          <w:color w:val="333333"/>
          <w:szCs w:val="24"/>
        </w:rPr>
      </w:pPr>
      <w:r>
        <w:rPr>
          <w:rFonts w:ascii="宋体" w:eastAsia="宋体" w:hAnsi="宋体" w:cs="宋体" w:hint="eastAsia"/>
          <w:b/>
          <w:bCs/>
          <w:color w:val="333333"/>
          <w:szCs w:val="24"/>
          <w:shd w:val="clear" w:color="auto" w:fill="FFFFFF"/>
        </w:rPr>
        <w:t>一、总体情况</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（一）主动公开情况</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202</w:t>
      </w:r>
      <w:r>
        <w:rPr>
          <w:rFonts w:ascii="Times New Roman" w:eastAsia="宋体" w:hAnsi="Times New Roman"/>
          <w:szCs w:val="24"/>
          <w:shd w:val="clear" w:color="auto" w:fill="FFFFFF"/>
        </w:rPr>
        <w:t>1</w:t>
      </w:r>
      <w:r>
        <w:rPr>
          <w:rFonts w:ascii="Times New Roman" w:eastAsia="宋体" w:hAnsi="Times New Roman"/>
          <w:szCs w:val="24"/>
          <w:shd w:val="clear" w:color="auto" w:fill="FFFFFF"/>
        </w:rPr>
        <w:t>年，我区按照《条例》要求，全面梳理、及时更新机关职能、机构设置、联系方式等信息。全年审查公开信息</w:t>
      </w:r>
      <w:r>
        <w:rPr>
          <w:rFonts w:ascii="Times New Roman" w:eastAsia="宋体" w:hAnsi="Times New Roman"/>
          <w:szCs w:val="24"/>
          <w:shd w:val="clear" w:color="auto" w:fill="FFFFFF"/>
        </w:rPr>
        <w:t>3043</w:t>
      </w:r>
      <w:r>
        <w:rPr>
          <w:rFonts w:ascii="Times New Roman" w:eastAsia="宋体" w:hAnsi="Times New Roman"/>
          <w:szCs w:val="24"/>
          <w:shd w:val="clear" w:color="auto" w:fill="FFFFFF"/>
        </w:rPr>
        <w:t>条，其中：规范性文件</w:t>
      </w:r>
      <w:r>
        <w:rPr>
          <w:rFonts w:ascii="Times New Roman" w:eastAsia="宋体" w:hAnsi="Times New Roman"/>
          <w:szCs w:val="24"/>
          <w:shd w:val="clear" w:color="auto" w:fill="FFFFFF"/>
        </w:rPr>
        <w:t>2</w:t>
      </w:r>
      <w:r>
        <w:rPr>
          <w:rFonts w:ascii="Times New Roman" w:eastAsia="宋体" w:hAnsi="Times New Roman"/>
          <w:szCs w:val="24"/>
          <w:shd w:val="clear" w:color="auto" w:fill="FFFFFF"/>
        </w:rPr>
        <w:t>条、区政府及区政府办公室文件</w:t>
      </w:r>
      <w:r>
        <w:rPr>
          <w:rFonts w:ascii="Times New Roman" w:eastAsia="宋体" w:hAnsi="Times New Roman"/>
          <w:szCs w:val="24"/>
          <w:shd w:val="clear" w:color="auto" w:fill="FFFFFF"/>
        </w:rPr>
        <w:t>1</w:t>
      </w:r>
      <w:r>
        <w:rPr>
          <w:rFonts w:ascii="Times New Roman" w:eastAsia="宋体" w:hAnsi="Times New Roman" w:hint="eastAsia"/>
          <w:szCs w:val="24"/>
          <w:shd w:val="clear" w:color="auto" w:fill="FFFFFF"/>
        </w:rPr>
        <w:t>5</w:t>
      </w:r>
      <w:r>
        <w:rPr>
          <w:rFonts w:ascii="Times New Roman" w:eastAsia="宋体" w:hAnsi="Times New Roman"/>
          <w:szCs w:val="24"/>
          <w:shd w:val="clear" w:color="auto" w:fill="FFFFFF"/>
        </w:rPr>
        <w:t>条、</w:t>
      </w:r>
      <w:r>
        <w:rPr>
          <w:rFonts w:ascii="Times New Roman" w:eastAsia="宋体" w:hAnsi="Times New Roman" w:hint="eastAsia"/>
          <w:szCs w:val="24"/>
          <w:shd w:val="clear" w:color="auto" w:fill="FFFFFF"/>
        </w:rPr>
        <w:t>相关</w:t>
      </w:r>
      <w:r>
        <w:rPr>
          <w:rFonts w:ascii="Times New Roman" w:eastAsia="宋体" w:hAnsi="Times New Roman"/>
          <w:szCs w:val="24"/>
          <w:shd w:val="clear" w:color="auto" w:fill="FFFFFF"/>
        </w:rPr>
        <w:t>解读</w:t>
      </w:r>
      <w:r>
        <w:rPr>
          <w:rFonts w:ascii="Times New Roman" w:eastAsia="宋体" w:hAnsi="Times New Roman" w:hint="eastAsia"/>
          <w:szCs w:val="24"/>
          <w:shd w:val="clear" w:color="auto" w:fill="FFFFFF"/>
        </w:rPr>
        <w:t>22</w:t>
      </w:r>
      <w:r>
        <w:rPr>
          <w:rFonts w:ascii="Times New Roman" w:eastAsia="宋体" w:hAnsi="Times New Roman" w:hint="eastAsia"/>
          <w:szCs w:val="24"/>
          <w:shd w:val="clear" w:color="auto" w:fill="FFFFFF"/>
        </w:rPr>
        <w:t>条（包括文字解读</w:t>
      </w:r>
      <w:r>
        <w:rPr>
          <w:rFonts w:ascii="Times New Roman" w:eastAsia="宋体" w:hAnsi="Times New Roman" w:hint="eastAsia"/>
          <w:szCs w:val="24"/>
          <w:shd w:val="clear" w:color="auto" w:fill="FFFFFF"/>
        </w:rPr>
        <w:t>10</w:t>
      </w:r>
      <w:r>
        <w:rPr>
          <w:rFonts w:ascii="Times New Roman" w:eastAsia="宋体" w:hAnsi="Times New Roman" w:hint="eastAsia"/>
          <w:szCs w:val="24"/>
          <w:shd w:val="clear" w:color="auto" w:fill="FFFFFF"/>
        </w:rPr>
        <w:t>条、图表解读</w:t>
      </w:r>
      <w:r>
        <w:rPr>
          <w:rFonts w:ascii="Times New Roman" w:eastAsia="宋体" w:hAnsi="Times New Roman" w:hint="eastAsia"/>
          <w:szCs w:val="24"/>
          <w:shd w:val="clear" w:color="auto" w:fill="FFFFFF"/>
        </w:rPr>
        <w:t>11</w:t>
      </w:r>
      <w:r>
        <w:rPr>
          <w:rFonts w:ascii="Times New Roman" w:eastAsia="宋体" w:hAnsi="Times New Roman" w:hint="eastAsia"/>
          <w:szCs w:val="24"/>
          <w:shd w:val="clear" w:color="auto" w:fill="FFFFFF"/>
        </w:rPr>
        <w:t>条、视频解读</w:t>
      </w:r>
      <w:r>
        <w:rPr>
          <w:rFonts w:ascii="Times New Roman" w:eastAsia="宋体" w:hAnsi="Times New Roman" w:hint="eastAsia"/>
          <w:szCs w:val="24"/>
          <w:shd w:val="clear" w:color="auto" w:fill="FFFFFF"/>
        </w:rPr>
        <w:t>1</w:t>
      </w:r>
      <w:r>
        <w:rPr>
          <w:rFonts w:ascii="Times New Roman" w:eastAsia="宋体" w:hAnsi="Times New Roman" w:hint="eastAsia"/>
          <w:szCs w:val="24"/>
          <w:shd w:val="clear" w:color="auto" w:fill="FFFFFF"/>
        </w:rPr>
        <w:t>条）</w:t>
      </w:r>
      <w:r>
        <w:rPr>
          <w:rFonts w:ascii="Times New Roman" w:eastAsia="宋体" w:hAnsi="Times New Roman"/>
          <w:szCs w:val="24"/>
          <w:shd w:val="clear" w:color="auto" w:fill="FFFFFF"/>
        </w:rPr>
        <w:t>。发布《政府工作报告》《国民经济和社会发展计划执行情况》，公</w:t>
      </w:r>
      <w:r>
        <w:rPr>
          <w:rFonts w:ascii="Times New Roman" w:eastAsia="宋体" w:hAnsi="Times New Roman"/>
          <w:szCs w:val="24"/>
          <w:shd w:val="clear" w:color="auto" w:fill="FFFFFF"/>
        </w:rPr>
        <w:t>开《国民经济和社会发展第十四个五年规划和二〇三五年远景目标纲要》《</w:t>
      </w:r>
      <w:r>
        <w:rPr>
          <w:rFonts w:ascii="Times New Roman" w:eastAsia="宋体" w:hAnsi="Times New Roman" w:hint="eastAsia"/>
          <w:szCs w:val="24"/>
          <w:shd w:val="clear" w:color="auto" w:fill="FFFFFF"/>
        </w:rPr>
        <w:t>“</w:t>
      </w:r>
      <w:r>
        <w:rPr>
          <w:rFonts w:ascii="Times New Roman" w:eastAsia="宋体" w:hAnsi="Times New Roman"/>
          <w:szCs w:val="24"/>
          <w:shd w:val="clear" w:color="auto" w:fill="FFFFFF"/>
        </w:rPr>
        <w:t>十四五</w:t>
      </w:r>
      <w:r>
        <w:rPr>
          <w:rFonts w:ascii="Times New Roman" w:eastAsia="宋体" w:hAnsi="Times New Roman" w:hint="eastAsia"/>
          <w:szCs w:val="24"/>
          <w:shd w:val="clear" w:color="auto" w:fill="FFFFFF"/>
        </w:rPr>
        <w:t>”</w:t>
      </w:r>
      <w:r>
        <w:rPr>
          <w:rFonts w:ascii="Times New Roman" w:eastAsia="宋体" w:hAnsi="Times New Roman"/>
          <w:szCs w:val="24"/>
          <w:shd w:val="clear" w:color="auto" w:fill="FFFFFF"/>
        </w:rPr>
        <w:t>教育发展规划》《</w:t>
      </w:r>
      <w:r>
        <w:rPr>
          <w:rFonts w:ascii="Times New Roman" w:eastAsia="宋体" w:hAnsi="Times New Roman" w:hint="eastAsia"/>
          <w:szCs w:val="24"/>
          <w:shd w:val="clear" w:color="auto" w:fill="FFFFFF"/>
        </w:rPr>
        <w:t>“</w:t>
      </w:r>
      <w:r>
        <w:rPr>
          <w:rFonts w:ascii="Times New Roman" w:eastAsia="宋体" w:hAnsi="Times New Roman"/>
          <w:szCs w:val="24"/>
          <w:shd w:val="clear" w:color="auto" w:fill="FFFFFF"/>
        </w:rPr>
        <w:t>十四五</w:t>
      </w:r>
      <w:r>
        <w:rPr>
          <w:rFonts w:ascii="Times New Roman" w:eastAsia="宋体" w:hAnsi="Times New Roman" w:hint="eastAsia"/>
          <w:szCs w:val="24"/>
          <w:shd w:val="clear" w:color="auto" w:fill="FFFFFF"/>
        </w:rPr>
        <w:t>”</w:t>
      </w:r>
      <w:r>
        <w:rPr>
          <w:rFonts w:ascii="Times New Roman" w:eastAsia="宋体" w:hAnsi="Times New Roman"/>
          <w:szCs w:val="24"/>
          <w:shd w:val="clear" w:color="auto" w:fill="FFFFFF"/>
        </w:rPr>
        <w:t>老旧小区改造专项规划》，区政府及各部门财政预决算报告及</w:t>
      </w:r>
      <w:r>
        <w:rPr>
          <w:rFonts w:ascii="Times New Roman" w:eastAsia="宋体" w:hAnsi="Times New Roman"/>
          <w:szCs w:val="24"/>
          <w:shd w:val="clear" w:color="auto" w:fill="FFFFFF"/>
        </w:rPr>
        <w:t>建议提案办理情况报告</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202</w:t>
      </w:r>
      <w:r>
        <w:rPr>
          <w:rFonts w:ascii="Times New Roman" w:eastAsia="宋体" w:hAnsi="Times New Roman"/>
          <w:szCs w:val="24"/>
          <w:shd w:val="clear" w:color="auto" w:fill="FFFFFF"/>
        </w:rPr>
        <w:t>1</w:t>
      </w:r>
      <w:r>
        <w:rPr>
          <w:rFonts w:ascii="Times New Roman" w:eastAsia="宋体" w:hAnsi="Times New Roman"/>
          <w:szCs w:val="24"/>
          <w:shd w:val="clear" w:color="auto" w:fill="FFFFFF"/>
        </w:rPr>
        <w:t>年由区政府决定的行政许可、行政处罚、行政强制有关基本信息、办理流程、办理材料、办理条件、设定依据以及办理进度通过江苏政务服务网向社会公开。</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（二）依申请公开情况</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按照《条例》要求，严格落实省政府办公厅《关于规范政府信息依申请公开办理程序的意见》（苏政办发﹝</w:t>
      </w:r>
      <w:r>
        <w:rPr>
          <w:rFonts w:ascii="Times New Roman" w:eastAsia="宋体" w:hAnsi="Times New Roman"/>
          <w:szCs w:val="24"/>
          <w:shd w:val="clear" w:color="auto" w:fill="FFFFFF"/>
        </w:rPr>
        <w:t>2018</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112</w:t>
      </w:r>
      <w:r>
        <w:rPr>
          <w:rFonts w:ascii="Times New Roman" w:eastAsia="宋体" w:hAnsi="Times New Roman"/>
          <w:szCs w:val="24"/>
          <w:shd w:val="clear" w:color="auto" w:fill="FFFFFF"/>
        </w:rPr>
        <w:t>号）和《关于印发江苏省政府信息公开申请办理答复规范的通知》（苏政办函〔</w:t>
      </w:r>
      <w:r>
        <w:rPr>
          <w:rFonts w:ascii="Times New Roman" w:eastAsia="宋体" w:hAnsi="Times New Roman"/>
          <w:szCs w:val="24"/>
          <w:shd w:val="clear" w:color="auto" w:fill="FFFFFF"/>
        </w:rPr>
        <w:t>2019</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98</w:t>
      </w:r>
      <w:r>
        <w:rPr>
          <w:rFonts w:ascii="Times New Roman" w:eastAsia="宋体" w:hAnsi="Times New Roman"/>
          <w:szCs w:val="24"/>
          <w:shd w:val="clear" w:color="auto" w:fill="FFFFFF"/>
        </w:rPr>
        <w:t>号），规范</w:t>
      </w:r>
      <w:r>
        <w:rPr>
          <w:rFonts w:ascii="Times New Roman" w:eastAsia="宋体" w:hAnsi="Times New Roman"/>
          <w:szCs w:val="24"/>
          <w:shd w:val="clear" w:color="auto" w:fill="FFFFFF"/>
        </w:rPr>
        <w:t>全区</w:t>
      </w:r>
      <w:r>
        <w:rPr>
          <w:rFonts w:ascii="Times New Roman" w:eastAsia="宋体" w:hAnsi="Times New Roman"/>
          <w:szCs w:val="24"/>
          <w:shd w:val="clear" w:color="auto" w:fill="FFFFFF"/>
        </w:rPr>
        <w:t>行政机关依申请公开办理行为，强化协同会商办理机制，提升依申请公开办理质量和时效</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建设法治政府和服务型政府，保障社会公众知情权，</w:t>
      </w:r>
      <w:r>
        <w:rPr>
          <w:rFonts w:ascii="Times New Roman" w:eastAsia="宋体" w:hAnsi="Times New Roman"/>
          <w:szCs w:val="24"/>
          <w:shd w:val="clear" w:color="auto" w:fill="FFFFFF"/>
        </w:rPr>
        <w:t>有效</w:t>
      </w:r>
      <w:r>
        <w:rPr>
          <w:rFonts w:ascii="Times New Roman" w:eastAsia="宋体" w:hAnsi="Times New Roman"/>
          <w:szCs w:val="24"/>
          <w:shd w:val="clear" w:color="auto" w:fill="FFFFFF"/>
        </w:rPr>
        <w:t>发挥政务公开在推进治理能力现代化中的作用。</w:t>
      </w:r>
      <w:r>
        <w:rPr>
          <w:rFonts w:ascii="Times New Roman" w:eastAsia="宋体" w:hAnsi="Times New Roman" w:hint="eastAsia"/>
          <w:szCs w:val="24"/>
          <w:shd w:val="clear" w:color="auto" w:fill="FFFFFF"/>
        </w:rPr>
        <w:t>全区</w:t>
      </w:r>
      <w:r>
        <w:rPr>
          <w:rFonts w:ascii="Times New Roman" w:eastAsia="宋体" w:hAnsi="Times New Roman"/>
          <w:szCs w:val="24"/>
          <w:shd w:val="clear" w:color="auto" w:fill="FFFFFF"/>
        </w:rPr>
        <w:t>全年</w:t>
      </w:r>
      <w:r>
        <w:rPr>
          <w:rFonts w:ascii="Times New Roman" w:eastAsia="宋体" w:hAnsi="Times New Roman" w:hint="eastAsia"/>
          <w:szCs w:val="24"/>
          <w:shd w:val="clear" w:color="auto" w:fill="FFFFFF"/>
        </w:rPr>
        <w:t>受理</w:t>
      </w:r>
      <w:r>
        <w:rPr>
          <w:rFonts w:ascii="Times New Roman" w:eastAsia="宋体" w:hAnsi="Times New Roman"/>
          <w:szCs w:val="24"/>
          <w:shd w:val="clear" w:color="auto" w:fill="FFFFFF"/>
        </w:rPr>
        <w:t>政府信息公开申请</w:t>
      </w:r>
      <w:r>
        <w:rPr>
          <w:rFonts w:ascii="Times New Roman" w:eastAsia="宋体" w:hAnsi="Times New Roman"/>
          <w:szCs w:val="24"/>
          <w:shd w:val="clear" w:color="auto" w:fill="FFFFFF"/>
        </w:rPr>
        <w:t>58</w:t>
      </w:r>
      <w:r>
        <w:rPr>
          <w:rFonts w:ascii="Times New Roman" w:eastAsia="宋体" w:hAnsi="Times New Roman"/>
          <w:szCs w:val="24"/>
          <w:shd w:val="clear" w:color="auto" w:fill="FFFFFF"/>
        </w:rPr>
        <w:t>件，其中区政府及区政府办公室</w:t>
      </w:r>
      <w:r>
        <w:rPr>
          <w:rFonts w:ascii="Times New Roman" w:eastAsia="宋体" w:hAnsi="Times New Roman" w:hint="eastAsia"/>
          <w:szCs w:val="24"/>
          <w:shd w:val="clear" w:color="auto" w:fill="FFFFFF"/>
        </w:rPr>
        <w:t>受理</w:t>
      </w:r>
      <w:r>
        <w:rPr>
          <w:rFonts w:ascii="Times New Roman" w:eastAsia="宋体" w:hAnsi="Times New Roman"/>
          <w:szCs w:val="24"/>
          <w:shd w:val="clear" w:color="auto" w:fill="FFFFFF"/>
        </w:rPr>
        <w:t>32</w:t>
      </w:r>
      <w:r>
        <w:rPr>
          <w:rFonts w:ascii="Times New Roman" w:eastAsia="宋体" w:hAnsi="Times New Roman"/>
          <w:szCs w:val="24"/>
          <w:shd w:val="clear" w:color="auto" w:fill="FFFFFF"/>
        </w:rPr>
        <w:t>件</w:t>
      </w:r>
      <w:r>
        <w:rPr>
          <w:rFonts w:ascii="Times New Roman" w:eastAsia="宋体" w:hAnsi="Times New Roman" w:hint="eastAsia"/>
          <w:szCs w:val="24"/>
          <w:shd w:val="clear" w:color="auto" w:fill="FFFFFF"/>
        </w:rPr>
        <w:t>，已全部办结。</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（三）政府信息管理情况</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加强政府信息资源的规范化、标准化、信息化管理</w:t>
      </w:r>
      <w:r>
        <w:rPr>
          <w:rFonts w:ascii="Times New Roman" w:eastAsia="宋体" w:hAnsi="Times New Roman"/>
          <w:szCs w:val="24"/>
          <w:shd w:val="clear" w:color="auto" w:fill="FFFFFF"/>
        </w:rPr>
        <w:t>。完善政府信息发布、审查、协调</w:t>
      </w:r>
      <w:r>
        <w:rPr>
          <w:rFonts w:ascii="Times New Roman" w:eastAsia="宋体" w:hAnsi="Times New Roman"/>
          <w:szCs w:val="24"/>
          <w:shd w:val="clear" w:color="auto" w:fill="FFFFFF"/>
        </w:rPr>
        <w:t>和动态调整机制</w:t>
      </w:r>
      <w:r>
        <w:rPr>
          <w:rFonts w:ascii="Times New Roman" w:eastAsia="宋体" w:hAnsi="Times New Roman"/>
          <w:szCs w:val="24"/>
          <w:shd w:val="clear" w:color="auto" w:fill="FFFFFF"/>
        </w:rPr>
        <w:t>，规范发布行政规范性文件等重要政府信息，并根据实际情况进行动态调整更新。持续推进基层政务公开标准化，集中公开重点领域基层政务公开事项标准目录，逐项明确责任主体、公开内容、公开时限、公开方式等，</w:t>
      </w:r>
      <w:r>
        <w:rPr>
          <w:rFonts w:ascii="Times New Roman" w:eastAsia="宋体" w:hAnsi="Times New Roman"/>
          <w:szCs w:val="24"/>
          <w:shd w:val="clear" w:color="auto" w:fill="FFFFFF"/>
        </w:rPr>
        <w:t>构建公开目录、基层平台、政府网站及政务新媒体等为载体的立体公开体系</w:t>
      </w:r>
      <w:r>
        <w:rPr>
          <w:rFonts w:ascii="Times New Roman" w:eastAsia="宋体" w:hAnsi="Times New Roman"/>
          <w:szCs w:val="24"/>
          <w:shd w:val="clear" w:color="auto" w:fill="FFFFFF"/>
        </w:rPr>
        <w:t>。增强信息化</w:t>
      </w:r>
      <w:r>
        <w:rPr>
          <w:rFonts w:ascii="Times New Roman" w:eastAsia="宋体" w:hAnsi="Times New Roman"/>
          <w:szCs w:val="24"/>
          <w:shd w:val="clear" w:color="auto" w:fill="FFFFFF"/>
        </w:rPr>
        <w:lastRenderedPageBreak/>
        <w:t>手</w:t>
      </w:r>
      <w:r>
        <w:rPr>
          <w:rFonts w:ascii="Times New Roman" w:eastAsia="宋体" w:hAnsi="Times New Roman"/>
          <w:szCs w:val="24"/>
          <w:shd w:val="clear" w:color="auto" w:fill="FFFFFF"/>
        </w:rPr>
        <w:t>段在政务信息管理中的运用，实行门户网站信息发布事前比对和事后监测相结合，提升信息发布质量。</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（四）政府信息公开平台建设</w:t>
      </w:r>
      <w:r>
        <w:rPr>
          <w:rFonts w:ascii="Times New Roman" w:eastAsia="宋体" w:hAnsi="Times New Roman"/>
          <w:szCs w:val="24"/>
          <w:shd w:val="clear" w:color="auto" w:fill="FFFFFF"/>
        </w:rPr>
        <w:t>情况</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强化政府门户网站建设，根据省、市统一部署要求，完善栏目内容设置，新增规划信息公开、基层政务公开目录、疫情防控服务专区等专栏，提高群众获取政府信息的准确性和便捷性；强化</w:t>
      </w:r>
      <w:r>
        <w:rPr>
          <w:rFonts w:ascii="Times New Roman" w:eastAsia="宋体" w:hAnsi="Times New Roman"/>
          <w:szCs w:val="24"/>
          <w:shd w:val="clear" w:color="auto" w:fill="FFFFFF"/>
        </w:rPr>
        <w:t>政务新媒体建设管理，对一些维护力量薄弱、关注度低的政务新媒体坚决进行关停、注销、整合</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有力保障</w:t>
      </w:r>
      <w:r>
        <w:rPr>
          <w:rFonts w:ascii="Times New Roman" w:eastAsia="宋体" w:hAnsi="Times New Roman"/>
          <w:szCs w:val="24"/>
          <w:shd w:val="clear" w:color="auto" w:fill="FFFFFF"/>
        </w:rPr>
        <w:t>新媒体质量</w:t>
      </w:r>
      <w:r>
        <w:rPr>
          <w:rFonts w:ascii="Times New Roman" w:eastAsia="宋体" w:hAnsi="Times New Roman"/>
          <w:szCs w:val="24"/>
          <w:shd w:val="clear" w:color="auto" w:fill="FFFFFF"/>
        </w:rPr>
        <w:t>。</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（五）监督保障情况</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将政务公开、政府网站、政务新媒体工作纳入全区高质量发展考核，引入第三方监管，对敏感词、错别字</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更新频率</w:t>
      </w:r>
      <w:r>
        <w:rPr>
          <w:rFonts w:ascii="Times New Roman" w:eastAsia="宋体" w:hAnsi="Times New Roman"/>
          <w:szCs w:val="24"/>
          <w:shd w:val="clear" w:color="auto" w:fill="FFFFFF"/>
        </w:rPr>
        <w:t>等问题进行深入</w:t>
      </w:r>
      <w:r>
        <w:rPr>
          <w:rFonts w:ascii="Times New Roman" w:eastAsia="宋体" w:hAnsi="Times New Roman"/>
          <w:szCs w:val="24"/>
          <w:shd w:val="clear" w:color="auto" w:fill="FFFFFF"/>
        </w:rPr>
        <w:t>的技术</w:t>
      </w:r>
      <w:r>
        <w:rPr>
          <w:rFonts w:ascii="Times New Roman" w:eastAsia="宋体" w:hAnsi="Times New Roman"/>
          <w:szCs w:val="24"/>
          <w:shd w:val="clear" w:color="auto" w:fill="FFFFFF"/>
        </w:rPr>
        <w:t>检测，坚持日常监测和年度考核相结合，</w:t>
      </w:r>
      <w:r>
        <w:rPr>
          <w:rFonts w:ascii="Times New Roman" w:eastAsia="宋体" w:hAnsi="Times New Roman"/>
          <w:szCs w:val="24"/>
          <w:shd w:val="clear" w:color="auto" w:fill="FFFFFF"/>
        </w:rPr>
        <w:t>同时积极接受公民、法人和其他组织对政府信息公开工作的监督</w:t>
      </w:r>
      <w:r>
        <w:rPr>
          <w:rFonts w:ascii="Times New Roman" w:eastAsia="宋体" w:hAnsi="Times New Roman"/>
          <w:szCs w:val="24"/>
          <w:shd w:val="clear" w:color="auto" w:fill="FFFFFF"/>
        </w:rPr>
        <w:t>。</w:t>
      </w:r>
    </w:p>
    <w:p w:rsidR="00AD3FA7" w:rsidRDefault="00115616">
      <w:pPr>
        <w:pStyle w:val="a5"/>
        <w:widowControl/>
        <w:shd w:val="clear" w:color="auto" w:fill="FFFFFF"/>
        <w:spacing w:beforeAutospacing="0" w:afterAutospacing="0"/>
        <w:ind w:firstLineChars="200" w:firstLine="482"/>
        <w:jc w:val="both"/>
        <w:rPr>
          <w:rFonts w:ascii="宋体" w:eastAsia="宋体" w:hAnsi="宋体" w:cs="宋体"/>
          <w:color w:val="333333"/>
          <w:szCs w:val="24"/>
        </w:rPr>
      </w:pPr>
      <w:r>
        <w:rPr>
          <w:rFonts w:ascii="宋体" w:eastAsia="宋体" w:hAnsi="宋体" w:cs="宋体" w:hint="eastAsia"/>
          <w:b/>
          <w:bCs/>
          <w:color w:val="333333"/>
          <w:szCs w:val="24"/>
          <w:shd w:val="clear" w:color="auto" w:fill="FFFFFF"/>
        </w:rPr>
        <w:t>二、主动公开政府信息情况</w:t>
      </w:r>
    </w:p>
    <w:tbl>
      <w:tblPr>
        <w:tblW w:w="5000" w:type="pct"/>
        <w:jc w:val="center"/>
        <w:tblCellMar>
          <w:left w:w="0" w:type="dxa"/>
          <w:right w:w="0" w:type="dxa"/>
        </w:tblCellMar>
        <w:tblLook w:val="04A0"/>
      </w:tblPr>
      <w:tblGrid>
        <w:gridCol w:w="2209"/>
        <w:gridCol w:w="2210"/>
        <w:gridCol w:w="2210"/>
        <w:gridCol w:w="2217"/>
      </w:tblGrid>
      <w:tr w:rsidR="00AD3FA7">
        <w:trPr>
          <w:trHeight w:val="340"/>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第二十条第（一）项</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信息内容</w:t>
            </w:r>
          </w:p>
        </w:tc>
        <w:tc>
          <w:tcPr>
            <w:tcW w:w="1249"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本年</w:t>
            </w:r>
            <w:r>
              <w:rPr>
                <w:rFonts w:ascii="宋体" w:eastAsia="宋体" w:hAnsi="宋体" w:cs="宋体" w:hint="eastAsia"/>
                <w:kern w:val="0"/>
                <w:sz w:val="20"/>
                <w:szCs w:val="20"/>
                <w:lang/>
              </w:rPr>
              <w:t>制发件数</w:t>
            </w:r>
          </w:p>
        </w:tc>
        <w:tc>
          <w:tcPr>
            <w:tcW w:w="1249"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本年废止件数</w:t>
            </w:r>
          </w:p>
        </w:tc>
        <w:tc>
          <w:tcPr>
            <w:tcW w:w="1250"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现行有效件</w:t>
            </w:r>
            <w:r>
              <w:rPr>
                <w:rFonts w:ascii="宋体" w:eastAsia="宋体" w:hAnsi="宋体" w:cs="宋体" w:hint="eastAsia"/>
                <w:kern w:val="0"/>
                <w:sz w:val="20"/>
                <w:szCs w:val="20"/>
                <w:lang/>
              </w:rPr>
              <w:t>数</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color w:val="000000"/>
                <w:kern w:val="0"/>
                <w:sz w:val="20"/>
                <w:szCs w:val="20"/>
                <w:lang/>
              </w:rPr>
              <w:t>规章</w:t>
            </w:r>
          </w:p>
        </w:tc>
        <w:tc>
          <w:tcPr>
            <w:tcW w:w="1249"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eastAsia="宋体" w:hAnsi="Times New Roman" w:cs="Times New Roman"/>
                <w:color w:val="000000"/>
                <w:kern w:val="0"/>
                <w:sz w:val="20"/>
                <w:szCs w:val="20"/>
                <w:lang/>
              </w:rPr>
              <w:t>0</w:t>
            </w:r>
          </w:p>
        </w:tc>
        <w:tc>
          <w:tcPr>
            <w:tcW w:w="1249"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eastAsia="宋体" w:hAnsi="Times New Roman" w:cs="Times New Roman"/>
                <w:color w:val="000000"/>
                <w:kern w:val="0"/>
                <w:sz w:val="20"/>
                <w:szCs w:val="20"/>
                <w:lang/>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jc w:val="center"/>
              <w:rPr>
                <w:rFonts w:ascii="Times New Roman" w:hAnsi="Times New Roman" w:cs="Times New Roman"/>
                <w:sz w:val="20"/>
                <w:szCs w:val="20"/>
              </w:rPr>
            </w:pPr>
            <w:r>
              <w:rPr>
                <w:rFonts w:ascii="Times New Roman" w:hAnsi="Times New Roman" w:cs="Times New Roman"/>
                <w:sz w:val="20"/>
                <w:szCs w:val="20"/>
              </w:rPr>
              <w:t>0</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color w:val="000000"/>
                <w:kern w:val="0"/>
                <w:sz w:val="20"/>
                <w:szCs w:val="20"/>
                <w:lang/>
              </w:rPr>
              <w:t>行政规范性文件</w:t>
            </w:r>
          </w:p>
        </w:tc>
        <w:tc>
          <w:tcPr>
            <w:tcW w:w="1249"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eastAsia="宋体" w:hAnsi="Times New Roman" w:cs="Times New Roman"/>
                <w:color w:val="000000"/>
                <w:kern w:val="0"/>
                <w:sz w:val="20"/>
                <w:szCs w:val="20"/>
                <w:lang/>
              </w:rPr>
              <w:t>2</w:t>
            </w:r>
          </w:p>
        </w:tc>
        <w:tc>
          <w:tcPr>
            <w:tcW w:w="1249"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eastAsia="宋体" w:hAnsi="Times New Roman" w:cs="Times New Roman"/>
                <w:color w:val="000000"/>
                <w:kern w:val="0"/>
                <w:sz w:val="20"/>
                <w:szCs w:val="20"/>
                <w:lang/>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jc w:val="center"/>
              <w:rPr>
                <w:rFonts w:ascii="Times New Roman" w:hAnsi="Times New Roman" w:cs="Times New Roman"/>
                <w:sz w:val="20"/>
                <w:szCs w:val="20"/>
              </w:rPr>
            </w:pPr>
            <w:r>
              <w:rPr>
                <w:rFonts w:ascii="Times New Roman" w:hAnsi="Times New Roman" w:cs="Times New Roman"/>
                <w:sz w:val="20"/>
                <w:szCs w:val="20"/>
              </w:rPr>
              <w:t>6</w:t>
            </w:r>
          </w:p>
        </w:tc>
      </w:tr>
      <w:tr w:rsidR="00AD3FA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第二十条第（五）项</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信息内容</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本年处理决定数量</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color w:val="000000"/>
                <w:kern w:val="0"/>
                <w:sz w:val="20"/>
                <w:szCs w:val="20"/>
                <w:lang/>
              </w:rPr>
              <w:t>行政许可</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Times New Roman" w:eastAsia="宋体" w:hAnsi="Times New Roman" w:cs="Times New Roman"/>
                <w:color w:val="000000"/>
                <w:kern w:val="0"/>
                <w:sz w:val="20"/>
                <w:szCs w:val="20"/>
                <w:lang/>
              </w:rPr>
              <w:t>25620</w:t>
            </w:r>
          </w:p>
        </w:tc>
      </w:tr>
      <w:tr w:rsidR="00AD3FA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第二十条第（六）项</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信息内容</w:t>
            </w:r>
          </w:p>
        </w:tc>
        <w:tc>
          <w:tcPr>
            <w:tcW w:w="3750" w:type="pct"/>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本年处理决定数量</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color w:val="000000"/>
                <w:kern w:val="0"/>
                <w:sz w:val="20"/>
                <w:szCs w:val="20"/>
                <w:lang/>
              </w:rPr>
              <w:t>行政处罚</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eastAsia="宋体" w:hAnsi="Times New Roman" w:cs="Times New Roman"/>
                <w:color w:val="000000"/>
                <w:kern w:val="0"/>
                <w:sz w:val="20"/>
                <w:szCs w:val="20"/>
                <w:lang/>
              </w:rPr>
            </w:pPr>
            <w:r>
              <w:rPr>
                <w:rFonts w:ascii="Times New Roman" w:eastAsia="宋体" w:hAnsi="Times New Roman" w:cs="Times New Roman" w:hint="eastAsia"/>
                <w:color w:val="000000"/>
                <w:kern w:val="0"/>
                <w:sz w:val="20"/>
                <w:szCs w:val="20"/>
                <w:lang/>
              </w:rPr>
              <w:t>4956</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color w:val="000000"/>
                <w:kern w:val="0"/>
                <w:sz w:val="20"/>
                <w:szCs w:val="20"/>
                <w:lang/>
              </w:rPr>
              <w:t>行政强制</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eastAsia="宋体" w:hAnsi="Times New Roman" w:cs="Times New Roman"/>
                <w:color w:val="000000"/>
                <w:kern w:val="0"/>
                <w:sz w:val="20"/>
                <w:szCs w:val="20"/>
                <w:lang/>
              </w:rPr>
            </w:pPr>
            <w:r>
              <w:rPr>
                <w:rFonts w:ascii="Times New Roman" w:eastAsia="宋体" w:hAnsi="Times New Roman" w:cs="Times New Roman" w:hint="eastAsia"/>
                <w:color w:val="000000"/>
                <w:kern w:val="0"/>
                <w:sz w:val="20"/>
                <w:szCs w:val="20"/>
                <w:lang/>
              </w:rPr>
              <w:t>41</w:t>
            </w:r>
          </w:p>
        </w:tc>
      </w:tr>
      <w:tr w:rsidR="00AD3FA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第二十条第（八）项</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信息内容</w:t>
            </w:r>
          </w:p>
        </w:tc>
        <w:tc>
          <w:tcPr>
            <w:tcW w:w="3750" w:type="pct"/>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color w:val="000000"/>
                <w:kern w:val="0"/>
                <w:sz w:val="20"/>
                <w:szCs w:val="20"/>
                <w:lang/>
              </w:rPr>
              <w:t>本年收费金额（单位：万元）</w:t>
            </w:r>
          </w:p>
        </w:tc>
      </w:tr>
      <w:tr w:rsidR="00AD3FA7">
        <w:trPr>
          <w:trHeight w:val="340"/>
          <w:jc w:val="center"/>
        </w:trPr>
        <w:tc>
          <w:tcPr>
            <w:tcW w:w="1249"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color w:val="000000"/>
                <w:kern w:val="0"/>
                <w:sz w:val="20"/>
                <w:szCs w:val="20"/>
                <w:lang/>
              </w:rPr>
              <w:t>行政事业性收费</w:t>
            </w:r>
          </w:p>
        </w:tc>
        <w:tc>
          <w:tcPr>
            <w:tcW w:w="3750" w:type="pct"/>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AD3FA7" w:rsidRDefault="00115616">
            <w:pPr>
              <w:jc w:val="center"/>
              <w:rPr>
                <w:rFonts w:ascii="宋体"/>
                <w:sz w:val="24"/>
                <w:szCs w:val="24"/>
              </w:rPr>
            </w:pPr>
            <w:r>
              <w:rPr>
                <w:rFonts w:ascii="Times New Roman" w:hAnsi="Times New Roman" w:cs="Times New Roman" w:hint="eastAsia"/>
                <w:kern w:val="0"/>
                <w:sz w:val="20"/>
                <w:szCs w:val="20"/>
                <w:lang/>
              </w:rPr>
              <w:t>1995</w:t>
            </w:r>
          </w:p>
        </w:tc>
      </w:tr>
    </w:tbl>
    <w:p w:rsidR="00AD3FA7" w:rsidRDefault="00AD3FA7">
      <w:pPr>
        <w:widowControl/>
        <w:jc w:val="left"/>
      </w:pPr>
    </w:p>
    <w:p w:rsidR="00AD3FA7" w:rsidRDefault="00115616">
      <w:pPr>
        <w:pStyle w:val="a5"/>
        <w:widowControl/>
        <w:shd w:val="clear" w:color="auto" w:fill="FFFFFF"/>
        <w:spacing w:beforeAutospacing="0" w:afterAutospacing="0"/>
        <w:ind w:firstLineChars="200" w:firstLine="482"/>
        <w:jc w:val="both"/>
        <w:rPr>
          <w:rFonts w:ascii="宋体" w:eastAsia="宋体" w:hAnsi="宋体" w:cs="宋体"/>
          <w:color w:val="333333"/>
          <w:szCs w:val="24"/>
        </w:rPr>
      </w:pPr>
      <w:r>
        <w:rPr>
          <w:rFonts w:ascii="宋体" w:eastAsia="宋体" w:hAnsi="宋体" w:cs="宋体" w:hint="eastAsia"/>
          <w:b/>
          <w:bCs/>
          <w:color w:val="333333"/>
          <w:szCs w:val="24"/>
          <w:shd w:val="clear" w:color="auto" w:fill="FFFFFF"/>
        </w:rPr>
        <w:t>三、收到和处理政府信息公开申请情况</w:t>
      </w:r>
    </w:p>
    <w:tbl>
      <w:tblPr>
        <w:tblW w:w="4999" w:type="pct"/>
        <w:jc w:val="center"/>
        <w:tblBorders>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700"/>
        <w:gridCol w:w="860"/>
        <w:gridCol w:w="2942"/>
        <w:gridCol w:w="626"/>
        <w:gridCol w:w="626"/>
        <w:gridCol w:w="626"/>
        <w:gridCol w:w="626"/>
        <w:gridCol w:w="626"/>
        <w:gridCol w:w="633"/>
        <w:gridCol w:w="630"/>
      </w:tblGrid>
      <w:tr w:rsidR="00AD3FA7">
        <w:trPr>
          <w:jc w:val="center"/>
        </w:trPr>
        <w:tc>
          <w:tcPr>
            <w:tcW w:w="2529" w:type="pct"/>
            <w:gridSpan w:val="3"/>
            <w:vMerge w:val="restart"/>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AD3FA7" w:rsidRDefault="00115616">
            <w:pPr>
              <w:widowControl/>
              <w:jc w:val="left"/>
            </w:pPr>
            <w:r>
              <w:rPr>
                <w:rFonts w:ascii="楷体" w:eastAsia="楷体" w:hAnsi="楷体" w:cs="楷体" w:hint="eastAsia"/>
                <w:kern w:val="0"/>
                <w:sz w:val="20"/>
                <w:szCs w:val="20"/>
                <w:lang/>
              </w:rPr>
              <w:t>（本列数据的勾稽关系为：第一项加第二项之和，等于第三项加第四项之和）</w:t>
            </w:r>
          </w:p>
        </w:tc>
        <w:tc>
          <w:tcPr>
            <w:tcW w:w="2470" w:type="pct"/>
            <w:gridSpan w:val="7"/>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kern w:val="0"/>
                <w:sz w:val="20"/>
                <w:szCs w:val="20"/>
                <w:lang/>
              </w:rPr>
              <w:t>申请人情况</w:t>
            </w:r>
          </w:p>
        </w:tc>
      </w:tr>
      <w:tr w:rsidR="00AD3FA7">
        <w:tblPrEx>
          <w:tblBorders>
            <w:top w:val="none" w:sz="6" w:space="0" w:color="auto"/>
          </w:tblBorders>
        </w:tblPrEx>
        <w:trPr>
          <w:jc w:val="center"/>
        </w:trPr>
        <w:tc>
          <w:tcPr>
            <w:tcW w:w="2529" w:type="pct"/>
            <w:gridSpan w:val="3"/>
            <w:vMerge/>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AD3FA7" w:rsidRDefault="00AD3FA7">
            <w:pPr>
              <w:rPr>
                <w:rFonts w:ascii="宋体"/>
                <w:sz w:val="24"/>
                <w:szCs w:val="24"/>
              </w:rPr>
            </w:pPr>
          </w:p>
        </w:tc>
        <w:tc>
          <w:tcPr>
            <w:tcW w:w="352" w:type="pct"/>
            <w:vMerge w:val="restar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pPr>
            <w:r>
              <w:rPr>
                <w:rFonts w:ascii="宋体" w:eastAsia="宋体" w:hAnsi="宋体" w:cs="宋体" w:hint="eastAsia"/>
                <w:kern w:val="0"/>
                <w:sz w:val="20"/>
                <w:szCs w:val="20"/>
                <w:lang/>
              </w:rPr>
              <w:t>自然人</w:t>
            </w:r>
          </w:p>
        </w:tc>
        <w:tc>
          <w:tcPr>
            <w:tcW w:w="1764" w:type="pct"/>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法人或其他组织</w:t>
            </w:r>
          </w:p>
        </w:tc>
        <w:tc>
          <w:tcPr>
            <w:tcW w:w="353" w:type="pct"/>
            <w:vMerge w:val="restart"/>
            <w:tcBorders>
              <w:top w:val="single" w:sz="8" w:space="0" w:color="auto"/>
              <w:left w:val="nil"/>
              <w:bottom w:val="outset"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总计</w:t>
            </w:r>
          </w:p>
        </w:tc>
      </w:tr>
      <w:tr w:rsidR="00AD3FA7">
        <w:tblPrEx>
          <w:tblBorders>
            <w:top w:val="none" w:sz="6" w:space="0" w:color="auto"/>
          </w:tblBorders>
        </w:tblPrEx>
        <w:trPr>
          <w:jc w:val="center"/>
        </w:trPr>
        <w:tc>
          <w:tcPr>
            <w:tcW w:w="2529" w:type="pct"/>
            <w:gridSpan w:val="3"/>
            <w:vMerge/>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AD3FA7" w:rsidRDefault="00AD3FA7">
            <w:pPr>
              <w:rPr>
                <w:rFonts w:ascii="宋体"/>
                <w:sz w:val="24"/>
                <w:szCs w:val="24"/>
              </w:rPr>
            </w:pPr>
          </w:p>
        </w:tc>
        <w:tc>
          <w:tcPr>
            <w:tcW w:w="352" w:type="pct"/>
            <w:vMerge/>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352" w:type="pct"/>
            <w:tcBorders>
              <w:top w:val="nil"/>
              <w:left w:val="nil"/>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商业</w:t>
            </w:r>
          </w:p>
          <w:p w:rsidR="00AD3FA7" w:rsidRDefault="00115616">
            <w:pPr>
              <w:widowControl/>
              <w:jc w:val="center"/>
            </w:pPr>
            <w:r>
              <w:rPr>
                <w:rFonts w:ascii="宋体" w:eastAsia="宋体" w:hAnsi="宋体" w:cs="宋体" w:hint="eastAsia"/>
                <w:kern w:val="0"/>
                <w:sz w:val="20"/>
                <w:szCs w:val="20"/>
                <w:lang/>
              </w:rPr>
              <w:t>企业</w:t>
            </w:r>
          </w:p>
        </w:tc>
        <w:tc>
          <w:tcPr>
            <w:tcW w:w="352" w:type="pct"/>
            <w:tcBorders>
              <w:top w:val="nil"/>
              <w:left w:val="nil"/>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科研</w:t>
            </w:r>
          </w:p>
          <w:p w:rsidR="00AD3FA7" w:rsidRDefault="00115616">
            <w:pPr>
              <w:widowControl/>
              <w:jc w:val="center"/>
            </w:pPr>
            <w:r>
              <w:rPr>
                <w:rFonts w:ascii="宋体" w:eastAsia="宋体" w:hAnsi="宋体" w:cs="宋体" w:hint="eastAsia"/>
                <w:kern w:val="0"/>
                <w:sz w:val="20"/>
                <w:szCs w:val="20"/>
                <w:lang/>
              </w:rPr>
              <w:t>机构</w:t>
            </w:r>
          </w:p>
        </w:tc>
        <w:tc>
          <w:tcPr>
            <w:tcW w:w="352" w:type="pc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社会公益组织</w:t>
            </w:r>
          </w:p>
        </w:tc>
        <w:tc>
          <w:tcPr>
            <w:tcW w:w="352" w:type="pc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法律服务机构</w:t>
            </w:r>
          </w:p>
        </w:tc>
        <w:tc>
          <w:tcPr>
            <w:tcW w:w="353" w:type="pc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其他</w:t>
            </w:r>
          </w:p>
        </w:tc>
        <w:tc>
          <w:tcPr>
            <w:tcW w:w="353" w:type="pct"/>
            <w:vMerge/>
            <w:tcBorders>
              <w:top w:val="single" w:sz="8" w:space="0" w:color="auto"/>
              <w:left w:val="nil"/>
              <w:bottom w:val="outset" w:sz="8" w:space="0" w:color="auto"/>
              <w:right w:val="single" w:sz="8" w:space="0" w:color="auto"/>
            </w:tcBorders>
            <w:shd w:val="clear" w:color="auto" w:fill="auto"/>
            <w:tcMar>
              <w:left w:w="108" w:type="dxa"/>
              <w:right w:w="108" w:type="dxa"/>
            </w:tcMar>
            <w:vAlign w:val="center"/>
          </w:tcPr>
          <w:p w:rsidR="00AD3FA7" w:rsidRDefault="00AD3FA7">
            <w:pPr>
              <w:rPr>
                <w:rFonts w:ascii="宋体"/>
                <w:sz w:val="24"/>
                <w:szCs w:val="24"/>
              </w:rPr>
            </w:pPr>
          </w:p>
        </w:tc>
      </w:tr>
      <w:tr w:rsidR="00AD3FA7">
        <w:tblPrEx>
          <w:tblBorders>
            <w:top w:val="none" w:sz="6" w:space="0" w:color="auto"/>
          </w:tblBorders>
        </w:tblPrEx>
        <w:trPr>
          <w:jc w:val="center"/>
        </w:trPr>
        <w:tc>
          <w:tcPr>
            <w:tcW w:w="2529" w:type="pct"/>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一、本年新收政府信息公开申请数量</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58</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58</w:t>
            </w:r>
          </w:p>
        </w:tc>
      </w:tr>
      <w:tr w:rsidR="00AD3FA7">
        <w:tblPrEx>
          <w:tblBorders>
            <w:top w:val="none" w:sz="6" w:space="0" w:color="auto"/>
          </w:tblBorders>
        </w:tblPrEx>
        <w:trPr>
          <w:jc w:val="center"/>
        </w:trPr>
        <w:tc>
          <w:tcPr>
            <w:tcW w:w="2529" w:type="pct"/>
            <w:gridSpan w:val="3"/>
            <w:tcBorders>
              <w:top w:val="nil"/>
              <w:left w:val="single" w:sz="8" w:space="0" w:color="auto"/>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二、上年结转政府信息公开申请数量</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3"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3"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trHeight w:val="90"/>
          <w:jc w:val="center"/>
        </w:trPr>
        <w:tc>
          <w:tcPr>
            <w:tcW w:w="393" w:type="pct"/>
            <w:vMerge w:val="restart"/>
            <w:tcBorders>
              <w:top w:val="single" w:sz="8" w:space="0" w:color="000000"/>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三、本年度办理</w:t>
            </w:r>
            <w:r>
              <w:rPr>
                <w:rFonts w:ascii="宋体" w:eastAsia="宋体" w:hAnsi="宋体" w:cs="宋体" w:hint="eastAsia"/>
                <w:kern w:val="0"/>
                <w:sz w:val="20"/>
                <w:szCs w:val="20"/>
                <w:lang/>
              </w:rPr>
              <w:lastRenderedPageBreak/>
              <w:t>结果</w:t>
            </w:r>
          </w:p>
        </w:tc>
        <w:tc>
          <w:tcPr>
            <w:tcW w:w="2135" w:type="pct"/>
            <w:gridSpan w:val="2"/>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lastRenderedPageBreak/>
              <w:t>（一）予以公开</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15</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3"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3"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15</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2135" w:type="pct"/>
            <w:gridSpan w:val="2"/>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（二）部分公开</w:t>
            </w:r>
            <w:r>
              <w:rPr>
                <w:rFonts w:ascii="楷体" w:eastAsia="楷体" w:hAnsi="楷体" w:cs="楷体" w:hint="eastAsia"/>
                <w:kern w:val="0"/>
                <w:sz w:val="20"/>
                <w:szCs w:val="20"/>
                <w:lang/>
              </w:rPr>
              <w:t>（区分处理的，只计这一情形，不计其他情形）</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7</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3"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3" w:type="pct"/>
            <w:tcBorders>
              <w:top w:val="nil"/>
              <w:left w:val="nil"/>
              <w:bottom w:val="single" w:sz="8" w:space="0" w:color="000000"/>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7</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val="restart"/>
            <w:tcBorders>
              <w:top w:val="single" w:sz="8" w:space="0" w:color="000000"/>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（三）不予公开</w:t>
            </w:r>
          </w:p>
        </w:tc>
        <w:tc>
          <w:tcPr>
            <w:tcW w:w="1652" w:type="pct"/>
            <w:tcBorders>
              <w:top w:val="single" w:sz="8" w:space="0" w:color="000000"/>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1.</w:t>
            </w:r>
            <w:r>
              <w:rPr>
                <w:rFonts w:ascii="宋体" w:eastAsia="宋体" w:hAnsi="宋体" w:cs="宋体" w:hint="eastAsia"/>
                <w:kern w:val="0"/>
                <w:sz w:val="20"/>
                <w:szCs w:val="20"/>
                <w:lang/>
              </w:rPr>
              <w:t>属于国家秘密</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single" w:sz="8" w:space="0" w:color="000000"/>
              <w:left w:val="nil"/>
              <w:bottom w:val="single" w:sz="8" w:space="0" w:color="000000"/>
              <w:right w:val="single" w:sz="8" w:space="0" w:color="000000"/>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2.</w:t>
            </w:r>
            <w:r>
              <w:rPr>
                <w:rFonts w:ascii="宋体" w:eastAsia="宋体" w:hAnsi="宋体" w:cs="宋体" w:hint="eastAsia"/>
                <w:kern w:val="0"/>
                <w:sz w:val="20"/>
                <w:szCs w:val="20"/>
                <w:lang/>
              </w:rPr>
              <w:t>其他法律行政法规禁止公开</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1</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single" w:sz="8" w:space="0" w:color="000000"/>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1</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3.</w:t>
            </w:r>
            <w:r>
              <w:rPr>
                <w:rFonts w:ascii="宋体" w:eastAsia="宋体" w:hAnsi="宋体" w:cs="宋体" w:hint="eastAsia"/>
                <w:kern w:val="0"/>
                <w:sz w:val="20"/>
                <w:szCs w:val="20"/>
                <w:lang/>
              </w:rPr>
              <w:t>危及“三安全一稳定”</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4.</w:t>
            </w:r>
            <w:r>
              <w:rPr>
                <w:rFonts w:ascii="宋体" w:eastAsia="宋体" w:hAnsi="宋体" w:cs="宋体" w:hint="eastAsia"/>
                <w:kern w:val="0"/>
                <w:sz w:val="20"/>
                <w:szCs w:val="20"/>
                <w:lang/>
              </w:rPr>
              <w:t>保护第三方合法权益</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5.</w:t>
            </w:r>
            <w:r>
              <w:rPr>
                <w:rFonts w:ascii="宋体" w:eastAsia="宋体" w:hAnsi="宋体" w:cs="宋体" w:hint="eastAsia"/>
                <w:kern w:val="0"/>
                <w:sz w:val="20"/>
                <w:szCs w:val="20"/>
                <w:lang/>
              </w:rPr>
              <w:t>属于三类内部事务信息</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4</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4</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6.</w:t>
            </w:r>
            <w:r>
              <w:rPr>
                <w:rFonts w:ascii="宋体" w:eastAsia="宋体" w:hAnsi="宋体" w:cs="宋体" w:hint="eastAsia"/>
                <w:kern w:val="0"/>
                <w:sz w:val="20"/>
                <w:szCs w:val="20"/>
                <w:lang/>
              </w:rPr>
              <w:t>属于四类过程性信息</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7.</w:t>
            </w:r>
            <w:r>
              <w:rPr>
                <w:rFonts w:ascii="宋体" w:eastAsia="宋体" w:hAnsi="宋体" w:cs="宋体" w:hint="eastAsia"/>
                <w:kern w:val="0"/>
                <w:sz w:val="20"/>
                <w:szCs w:val="20"/>
                <w:lang/>
              </w:rPr>
              <w:t>属于行政执法案卷</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8.</w:t>
            </w:r>
            <w:r>
              <w:rPr>
                <w:rFonts w:ascii="宋体" w:eastAsia="宋体" w:hAnsi="宋体" w:cs="宋体" w:hint="eastAsia"/>
                <w:kern w:val="0"/>
                <w:sz w:val="20"/>
                <w:szCs w:val="20"/>
                <w:lang/>
              </w:rPr>
              <w:t>属于行政查询事项</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val="restar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（四）无法提供</w:t>
            </w: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1.</w:t>
            </w:r>
            <w:r>
              <w:rPr>
                <w:rFonts w:ascii="宋体" w:eastAsia="宋体" w:hAnsi="宋体" w:cs="宋体" w:hint="eastAsia"/>
                <w:kern w:val="0"/>
                <w:sz w:val="20"/>
                <w:szCs w:val="20"/>
                <w:lang/>
              </w:rPr>
              <w:t>本机关不掌握相关政府信息</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30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30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2.</w:t>
            </w:r>
            <w:r>
              <w:rPr>
                <w:rFonts w:ascii="宋体" w:eastAsia="宋体" w:hAnsi="宋体" w:cs="宋体" w:hint="eastAsia"/>
                <w:kern w:val="0"/>
                <w:sz w:val="20"/>
                <w:szCs w:val="20"/>
                <w:lang/>
              </w:rPr>
              <w:t>没有现成信息需要另行制作</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3.</w:t>
            </w:r>
            <w:r>
              <w:rPr>
                <w:rFonts w:ascii="宋体" w:eastAsia="宋体" w:hAnsi="宋体" w:cs="宋体" w:hint="eastAsia"/>
                <w:kern w:val="0"/>
                <w:sz w:val="20"/>
                <w:szCs w:val="20"/>
                <w:lang/>
              </w:rPr>
              <w:t>补正后申请内容仍不明确</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1</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1</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val="restar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（五）不予处理</w:t>
            </w: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1.</w:t>
            </w:r>
            <w:r>
              <w:rPr>
                <w:rFonts w:ascii="宋体" w:eastAsia="宋体" w:hAnsi="宋体" w:cs="宋体" w:hint="eastAsia"/>
                <w:kern w:val="0"/>
                <w:sz w:val="20"/>
                <w:szCs w:val="20"/>
                <w:lang/>
              </w:rPr>
              <w:t>信访举报投诉类申请</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2.</w:t>
            </w:r>
            <w:r>
              <w:rPr>
                <w:rFonts w:ascii="宋体" w:eastAsia="宋体" w:hAnsi="宋体" w:cs="宋体" w:hint="eastAsia"/>
                <w:kern w:val="0"/>
                <w:sz w:val="20"/>
                <w:szCs w:val="20"/>
                <w:lang/>
              </w:rPr>
              <w:t>重复申请</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3.</w:t>
            </w:r>
            <w:r>
              <w:rPr>
                <w:rFonts w:ascii="宋体" w:eastAsia="宋体" w:hAnsi="宋体" w:cs="宋体" w:hint="eastAsia"/>
                <w:kern w:val="0"/>
                <w:sz w:val="20"/>
                <w:szCs w:val="20"/>
                <w:lang/>
              </w:rPr>
              <w:t>要求提供公开出版物</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tcPr>
          <w:p w:rsidR="00AD3FA7" w:rsidRDefault="00115616">
            <w:pPr>
              <w:widowControl/>
              <w:jc w:val="left"/>
            </w:pPr>
            <w:r>
              <w:rPr>
                <w:rFonts w:ascii="宋体" w:eastAsia="宋体" w:hAnsi="宋体" w:cs="宋体" w:hint="eastAsia"/>
                <w:kern w:val="0"/>
                <w:sz w:val="20"/>
                <w:szCs w:val="20"/>
                <w:lang/>
              </w:rPr>
              <w:t>4.</w:t>
            </w:r>
            <w:r>
              <w:rPr>
                <w:rFonts w:ascii="宋体" w:eastAsia="宋体" w:hAnsi="宋体" w:cs="宋体" w:hint="eastAsia"/>
                <w:kern w:val="0"/>
                <w:sz w:val="20"/>
                <w:szCs w:val="20"/>
                <w:lang/>
              </w:rPr>
              <w:t>无正当理由大量反复申请</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trHeight w:val="779"/>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pPr>
            <w:r>
              <w:rPr>
                <w:rFonts w:ascii="宋体" w:eastAsia="宋体" w:hAnsi="宋体" w:cs="宋体" w:hint="eastAsia"/>
                <w:kern w:val="0"/>
                <w:sz w:val="20"/>
                <w:szCs w:val="20"/>
                <w:lang/>
              </w:rPr>
              <w:t>5.</w:t>
            </w:r>
            <w:r>
              <w:rPr>
                <w:rFonts w:ascii="宋体" w:eastAsia="宋体" w:hAnsi="宋体" w:cs="宋体" w:hint="eastAsia"/>
                <w:kern w:val="0"/>
                <w:sz w:val="20"/>
                <w:szCs w:val="20"/>
                <w:lang/>
              </w:rPr>
              <w:t>要求行政机关确认或重新出具已获取信息</w:t>
            </w:r>
          </w:p>
        </w:tc>
        <w:tc>
          <w:tcPr>
            <w:tcW w:w="352" w:type="pc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val="restart"/>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（六）其他处理</w:t>
            </w:r>
          </w:p>
        </w:tc>
        <w:tc>
          <w:tcPr>
            <w:tcW w:w="16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pPr>
            <w:r>
              <w:rPr>
                <w:rFonts w:ascii="宋体" w:eastAsia="宋体" w:hAnsi="宋体" w:cs="宋体" w:hint="eastAsia"/>
                <w:kern w:val="0"/>
                <w:sz w:val="20"/>
                <w:szCs w:val="20"/>
                <w:lang/>
              </w:rPr>
              <w:t>1.</w:t>
            </w:r>
            <w:r>
              <w:rPr>
                <w:rFonts w:ascii="宋体" w:eastAsia="宋体" w:hAnsi="宋体" w:cs="宋体" w:hint="eastAsia"/>
                <w:kern w:val="0"/>
                <w:sz w:val="20"/>
                <w:szCs w:val="20"/>
                <w:lang/>
              </w:rPr>
              <w:t>申请人无正当理由逾期不补正、行政机关不再处理其政府信息公开申请</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pPr>
            <w:r>
              <w:rPr>
                <w:rFonts w:ascii="宋体" w:eastAsia="宋体" w:hAnsi="宋体" w:cs="宋体" w:hint="eastAsia"/>
                <w:kern w:val="0"/>
                <w:sz w:val="20"/>
                <w:szCs w:val="20"/>
                <w:lang/>
              </w:rPr>
              <w:t>2</w:t>
            </w:r>
            <w:r>
              <w:rPr>
                <w:rFonts w:ascii="宋体" w:eastAsia="宋体" w:hAnsi="宋体" w:cs="宋体" w:hint="eastAsia"/>
                <w:kern w:val="0"/>
                <w:sz w:val="20"/>
                <w:szCs w:val="20"/>
                <w:lang/>
              </w:rPr>
              <w:t>.</w:t>
            </w:r>
            <w:r>
              <w:rPr>
                <w:rFonts w:ascii="宋体" w:eastAsia="宋体" w:hAnsi="宋体" w:cs="宋体" w:hint="eastAsia"/>
                <w:kern w:val="0"/>
                <w:sz w:val="20"/>
                <w:szCs w:val="20"/>
                <w:lang/>
              </w:rPr>
              <w:t>申请人逾期未按收费通知要求缴纳费用、行政机关不再处理其政府信息公开申请</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483" w:type="pct"/>
            <w:vMerge/>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16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3.</w:t>
            </w:r>
            <w:r>
              <w:rPr>
                <w:rFonts w:ascii="宋体" w:eastAsia="宋体" w:hAnsi="宋体" w:cs="宋体" w:hint="eastAsia"/>
                <w:kern w:val="0"/>
                <w:sz w:val="20"/>
                <w:szCs w:val="20"/>
                <w:lang/>
              </w:rPr>
              <w:t>其他</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0</w:t>
            </w:r>
          </w:p>
        </w:tc>
      </w:tr>
      <w:tr w:rsidR="00AD3FA7">
        <w:tblPrEx>
          <w:tblBorders>
            <w:top w:val="none" w:sz="6" w:space="0" w:color="auto"/>
          </w:tblBorders>
        </w:tblPrEx>
        <w:trPr>
          <w:jc w:val="center"/>
        </w:trPr>
        <w:tc>
          <w:tcPr>
            <w:tcW w:w="393" w:type="pct"/>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AD3FA7" w:rsidRDefault="00AD3FA7">
            <w:pPr>
              <w:rPr>
                <w:rFonts w:ascii="宋体"/>
                <w:sz w:val="24"/>
                <w:szCs w:val="24"/>
              </w:rPr>
            </w:pPr>
          </w:p>
        </w:tc>
        <w:tc>
          <w:tcPr>
            <w:tcW w:w="2135" w:type="pct"/>
            <w:gridSpan w:val="2"/>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（七）总计</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58</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kern w:val="0"/>
                <w:sz w:val="20"/>
                <w:szCs w:val="20"/>
                <w:lang/>
              </w:rPr>
              <w:t>58</w:t>
            </w:r>
          </w:p>
        </w:tc>
      </w:tr>
      <w:tr w:rsidR="00AD3FA7">
        <w:tblPrEx>
          <w:tblBorders>
            <w:top w:val="none" w:sz="6" w:space="0" w:color="auto"/>
          </w:tblBorders>
        </w:tblPrEx>
        <w:trPr>
          <w:jc w:val="center"/>
        </w:trPr>
        <w:tc>
          <w:tcPr>
            <w:tcW w:w="2529" w:type="pct"/>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left"/>
            </w:pPr>
            <w:r>
              <w:rPr>
                <w:rFonts w:ascii="宋体" w:eastAsia="宋体" w:hAnsi="宋体" w:cs="宋体" w:hint="eastAsia"/>
                <w:kern w:val="0"/>
                <w:sz w:val="20"/>
                <w:szCs w:val="20"/>
                <w:lang/>
              </w:rPr>
              <w:t>四、结转下年度继续办理</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jc w:val="center"/>
              <w:rPr>
                <w:rFonts w:ascii="Times New Roman" w:hAnsi="Times New Roman" w:cs="Times New Roman"/>
                <w:sz w:val="20"/>
                <w:szCs w:val="20"/>
              </w:rPr>
            </w:pPr>
            <w:r>
              <w:rPr>
                <w:rFonts w:ascii="Times New Roman" w:hAnsi="Times New Roman" w:cs="Times New Roman"/>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2"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c>
          <w:tcPr>
            <w:tcW w:w="353" w:type="pct"/>
            <w:tcBorders>
              <w:top w:val="nil"/>
              <w:left w:val="nil"/>
              <w:bottom w:val="single" w:sz="8" w:space="0" w:color="auto"/>
              <w:right w:val="single" w:sz="8" w:space="0" w:color="auto"/>
            </w:tcBorders>
            <w:shd w:val="clear" w:color="auto" w:fill="auto"/>
            <w:tcMar>
              <w:left w:w="57" w:type="dxa"/>
              <w:right w:w="57" w:type="dxa"/>
            </w:tcMar>
            <w:vAlign w:val="center"/>
          </w:tcPr>
          <w:p w:rsidR="00AD3FA7" w:rsidRDefault="00115616">
            <w:pPr>
              <w:widowControl/>
              <w:jc w:val="center"/>
              <w:rPr>
                <w:rFonts w:ascii="Times New Roman" w:hAnsi="Times New Roman" w:cs="Times New Roman"/>
                <w:sz w:val="20"/>
                <w:szCs w:val="20"/>
              </w:rPr>
            </w:pPr>
            <w:r>
              <w:rPr>
                <w:rFonts w:ascii="Times New Roman" w:hAnsi="Times New Roman" w:cs="Times New Roman" w:hint="eastAsia"/>
                <w:sz w:val="20"/>
                <w:szCs w:val="20"/>
              </w:rPr>
              <w:t>0</w:t>
            </w:r>
          </w:p>
        </w:tc>
      </w:tr>
    </w:tbl>
    <w:p w:rsidR="00AD3FA7" w:rsidRDefault="00AD3FA7">
      <w:pPr>
        <w:widowControl/>
        <w:shd w:val="clear" w:color="auto" w:fill="FFFFFF"/>
        <w:jc w:val="center"/>
        <w:rPr>
          <w:rFonts w:ascii="宋体" w:eastAsia="宋体" w:hAnsi="宋体" w:cs="宋体"/>
          <w:color w:val="333333"/>
          <w:sz w:val="24"/>
          <w:szCs w:val="24"/>
        </w:rPr>
      </w:pPr>
    </w:p>
    <w:p w:rsidR="00AD3FA7" w:rsidRDefault="00115616">
      <w:pPr>
        <w:pStyle w:val="a5"/>
        <w:widowControl/>
        <w:shd w:val="clear" w:color="auto" w:fill="FFFFFF"/>
        <w:spacing w:beforeAutospacing="0" w:afterAutospacing="0"/>
        <w:ind w:firstLineChars="200" w:firstLine="482"/>
        <w:jc w:val="both"/>
        <w:rPr>
          <w:rFonts w:ascii="宋体" w:eastAsia="宋体" w:hAnsi="宋体" w:cs="宋体"/>
          <w:color w:val="333333"/>
          <w:szCs w:val="24"/>
        </w:rPr>
      </w:pPr>
      <w:r>
        <w:rPr>
          <w:rFonts w:ascii="宋体" w:eastAsia="宋体" w:hAnsi="宋体" w:cs="宋体" w:hint="eastAsia"/>
          <w:b/>
          <w:bCs/>
          <w:color w:val="333333"/>
          <w:szCs w:val="24"/>
          <w:shd w:val="clear" w:color="auto" w:fill="FFFFFF"/>
        </w:rPr>
        <w:t>四、政府信息公开行政复议、行政诉讼情况</w:t>
      </w:r>
    </w:p>
    <w:tbl>
      <w:tblPr>
        <w:tblW w:w="4999"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595"/>
        <w:gridCol w:w="594"/>
        <w:gridCol w:w="594"/>
        <w:gridCol w:w="594"/>
        <w:gridCol w:w="601"/>
        <w:gridCol w:w="594"/>
        <w:gridCol w:w="594"/>
        <w:gridCol w:w="596"/>
        <w:gridCol w:w="596"/>
        <w:gridCol w:w="599"/>
        <w:gridCol w:w="596"/>
        <w:gridCol w:w="596"/>
        <w:gridCol w:w="596"/>
        <w:gridCol w:w="596"/>
        <w:gridCol w:w="605"/>
      </w:tblGrid>
      <w:tr w:rsidR="00AD3FA7">
        <w:trPr>
          <w:jc w:val="center"/>
        </w:trPr>
        <w:tc>
          <w:tcPr>
            <w:tcW w:w="1664" w:type="pct"/>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行政复议</w:t>
            </w:r>
          </w:p>
        </w:tc>
        <w:tc>
          <w:tcPr>
            <w:tcW w:w="3335" w:type="pct"/>
            <w:gridSpan w:val="10"/>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行政诉讼</w:t>
            </w:r>
          </w:p>
        </w:tc>
      </w:tr>
      <w:tr w:rsidR="00AD3FA7">
        <w:trPr>
          <w:jc w:val="center"/>
        </w:trPr>
        <w:tc>
          <w:tcPr>
            <w:tcW w:w="332" w:type="pct"/>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结果维持</w:t>
            </w:r>
          </w:p>
        </w:tc>
        <w:tc>
          <w:tcPr>
            <w:tcW w:w="332" w:type="pct"/>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结果</w:t>
            </w:r>
          </w:p>
          <w:p w:rsidR="00AD3FA7" w:rsidRDefault="00115616">
            <w:pPr>
              <w:widowControl/>
              <w:jc w:val="center"/>
            </w:pPr>
            <w:r>
              <w:rPr>
                <w:rFonts w:ascii="宋体" w:eastAsia="宋体" w:hAnsi="宋体" w:cs="宋体" w:hint="eastAsia"/>
                <w:kern w:val="0"/>
                <w:sz w:val="20"/>
                <w:szCs w:val="20"/>
                <w:lang/>
              </w:rPr>
              <w:t>纠正</w:t>
            </w:r>
          </w:p>
        </w:tc>
        <w:tc>
          <w:tcPr>
            <w:tcW w:w="332" w:type="pct"/>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其他</w:t>
            </w:r>
          </w:p>
          <w:p w:rsidR="00AD3FA7" w:rsidRDefault="00115616">
            <w:pPr>
              <w:widowControl/>
              <w:jc w:val="center"/>
            </w:pPr>
            <w:r>
              <w:rPr>
                <w:rFonts w:ascii="宋体" w:eastAsia="宋体" w:hAnsi="宋体" w:cs="宋体" w:hint="eastAsia"/>
                <w:kern w:val="0"/>
                <w:sz w:val="20"/>
                <w:szCs w:val="20"/>
                <w:lang/>
              </w:rPr>
              <w:t>结果</w:t>
            </w:r>
          </w:p>
        </w:tc>
        <w:tc>
          <w:tcPr>
            <w:tcW w:w="332" w:type="pct"/>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尚未</w:t>
            </w:r>
          </w:p>
          <w:p w:rsidR="00AD3FA7" w:rsidRDefault="00115616">
            <w:pPr>
              <w:widowControl/>
              <w:jc w:val="center"/>
            </w:pPr>
            <w:r>
              <w:rPr>
                <w:rFonts w:ascii="宋体" w:eastAsia="宋体" w:hAnsi="宋体" w:cs="宋体" w:hint="eastAsia"/>
                <w:kern w:val="0"/>
                <w:sz w:val="20"/>
                <w:szCs w:val="20"/>
                <w:lang/>
              </w:rPr>
              <w:t>审结</w:t>
            </w:r>
          </w:p>
        </w:tc>
        <w:tc>
          <w:tcPr>
            <w:tcW w:w="334" w:type="pct"/>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总计</w:t>
            </w:r>
          </w:p>
        </w:tc>
        <w:tc>
          <w:tcPr>
            <w:tcW w:w="1665" w:type="pct"/>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未经复议直接起诉</w:t>
            </w:r>
          </w:p>
        </w:tc>
        <w:tc>
          <w:tcPr>
            <w:tcW w:w="1669" w:type="pct"/>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kern w:val="0"/>
                <w:sz w:val="20"/>
                <w:szCs w:val="20"/>
                <w:lang/>
              </w:rPr>
              <w:t>复议后起诉</w:t>
            </w:r>
          </w:p>
        </w:tc>
      </w:tr>
      <w:tr w:rsidR="00AD3FA7">
        <w:trPr>
          <w:jc w:val="center"/>
        </w:trPr>
        <w:tc>
          <w:tcPr>
            <w:tcW w:w="332" w:type="pct"/>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AD3FA7">
            <w:pPr>
              <w:rPr>
                <w:rFonts w:ascii="宋体"/>
                <w:sz w:val="24"/>
                <w:szCs w:val="24"/>
              </w:rPr>
            </w:pPr>
          </w:p>
        </w:tc>
        <w:tc>
          <w:tcPr>
            <w:tcW w:w="332" w:type="pct"/>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AD3FA7">
            <w:pPr>
              <w:rPr>
                <w:rFonts w:ascii="宋体"/>
                <w:sz w:val="24"/>
                <w:szCs w:val="24"/>
              </w:rPr>
            </w:pPr>
          </w:p>
        </w:tc>
        <w:tc>
          <w:tcPr>
            <w:tcW w:w="332" w:type="pct"/>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AD3FA7">
            <w:pPr>
              <w:rPr>
                <w:rFonts w:ascii="宋体"/>
                <w:sz w:val="24"/>
                <w:szCs w:val="24"/>
              </w:rPr>
            </w:pPr>
          </w:p>
        </w:tc>
        <w:tc>
          <w:tcPr>
            <w:tcW w:w="332" w:type="pct"/>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AD3FA7">
            <w:pPr>
              <w:rPr>
                <w:rFonts w:ascii="宋体"/>
                <w:sz w:val="24"/>
                <w:szCs w:val="24"/>
              </w:rPr>
            </w:pPr>
          </w:p>
        </w:tc>
        <w:tc>
          <w:tcPr>
            <w:tcW w:w="334" w:type="pct"/>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AD3FA7">
            <w:pPr>
              <w:rPr>
                <w:rFonts w:ascii="宋体"/>
                <w:sz w:val="24"/>
                <w:szCs w:val="24"/>
              </w:rPr>
            </w:pPr>
          </w:p>
        </w:tc>
        <w:tc>
          <w:tcPr>
            <w:tcW w:w="332"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结果</w:t>
            </w:r>
          </w:p>
          <w:p w:rsidR="00AD3FA7" w:rsidRDefault="00115616">
            <w:pPr>
              <w:widowControl/>
              <w:jc w:val="center"/>
            </w:pPr>
            <w:r>
              <w:rPr>
                <w:rFonts w:ascii="宋体" w:eastAsia="宋体" w:hAnsi="宋体" w:cs="宋体" w:hint="eastAsia"/>
                <w:kern w:val="0"/>
                <w:sz w:val="20"/>
                <w:szCs w:val="20"/>
                <w:lang/>
              </w:rPr>
              <w:t>维持</w:t>
            </w:r>
          </w:p>
        </w:tc>
        <w:tc>
          <w:tcPr>
            <w:tcW w:w="332"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结果</w:t>
            </w:r>
          </w:p>
          <w:p w:rsidR="00AD3FA7" w:rsidRDefault="00115616">
            <w:pPr>
              <w:widowControl/>
              <w:jc w:val="center"/>
            </w:pPr>
            <w:r>
              <w:rPr>
                <w:rFonts w:ascii="宋体" w:eastAsia="宋体" w:hAnsi="宋体" w:cs="宋体" w:hint="eastAsia"/>
                <w:kern w:val="0"/>
                <w:sz w:val="20"/>
                <w:szCs w:val="20"/>
                <w:lang/>
              </w:rPr>
              <w:t>纠正</w:t>
            </w:r>
          </w:p>
        </w:tc>
        <w:tc>
          <w:tcPr>
            <w:tcW w:w="333" w:type="pc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其他</w:t>
            </w:r>
          </w:p>
          <w:p w:rsidR="00AD3FA7" w:rsidRDefault="00115616">
            <w:pPr>
              <w:widowControl/>
              <w:jc w:val="center"/>
            </w:pPr>
            <w:r>
              <w:rPr>
                <w:rFonts w:ascii="宋体" w:eastAsia="宋体" w:hAnsi="宋体" w:cs="宋体" w:hint="eastAsia"/>
                <w:kern w:val="0"/>
                <w:sz w:val="20"/>
                <w:szCs w:val="20"/>
                <w:lang/>
              </w:rPr>
              <w:t>结果</w:t>
            </w:r>
          </w:p>
        </w:tc>
        <w:tc>
          <w:tcPr>
            <w:tcW w:w="333" w:type="pc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尚未</w:t>
            </w:r>
          </w:p>
          <w:p w:rsidR="00AD3FA7" w:rsidRDefault="00115616">
            <w:pPr>
              <w:widowControl/>
              <w:jc w:val="center"/>
            </w:pPr>
            <w:r>
              <w:rPr>
                <w:rFonts w:ascii="宋体" w:eastAsia="宋体" w:hAnsi="宋体" w:cs="宋体" w:hint="eastAsia"/>
                <w:kern w:val="0"/>
                <w:sz w:val="20"/>
                <w:szCs w:val="20"/>
                <w:lang/>
              </w:rPr>
              <w:t>审结</w:t>
            </w:r>
          </w:p>
        </w:tc>
        <w:tc>
          <w:tcPr>
            <w:tcW w:w="334" w:type="pc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color w:val="000000"/>
                <w:kern w:val="0"/>
                <w:sz w:val="20"/>
                <w:szCs w:val="20"/>
                <w:lang/>
              </w:rPr>
              <w:t>总计</w:t>
            </w:r>
          </w:p>
        </w:tc>
        <w:tc>
          <w:tcPr>
            <w:tcW w:w="333" w:type="pc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结果</w:t>
            </w:r>
          </w:p>
          <w:p w:rsidR="00AD3FA7" w:rsidRDefault="00115616">
            <w:pPr>
              <w:widowControl/>
              <w:jc w:val="center"/>
            </w:pPr>
            <w:r>
              <w:rPr>
                <w:rFonts w:ascii="宋体" w:eastAsia="宋体" w:hAnsi="宋体" w:cs="宋体" w:hint="eastAsia"/>
                <w:kern w:val="0"/>
                <w:sz w:val="20"/>
                <w:szCs w:val="20"/>
                <w:lang/>
              </w:rPr>
              <w:t>维持</w:t>
            </w:r>
          </w:p>
        </w:tc>
        <w:tc>
          <w:tcPr>
            <w:tcW w:w="333" w:type="pc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结果</w:t>
            </w:r>
          </w:p>
          <w:p w:rsidR="00AD3FA7" w:rsidRDefault="00115616">
            <w:pPr>
              <w:widowControl/>
              <w:jc w:val="center"/>
            </w:pPr>
            <w:r>
              <w:rPr>
                <w:rFonts w:ascii="宋体" w:eastAsia="宋体" w:hAnsi="宋体" w:cs="宋体" w:hint="eastAsia"/>
                <w:kern w:val="0"/>
                <w:sz w:val="20"/>
                <w:szCs w:val="20"/>
                <w:lang/>
              </w:rPr>
              <w:t>纠正</w:t>
            </w:r>
          </w:p>
        </w:tc>
        <w:tc>
          <w:tcPr>
            <w:tcW w:w="333" w:type="pc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其他</w:t>
            </w:r>
          </w:p>
          <w:p w:rsidR="00AD3FA7" w:rsidRDefault="00115616">
            <w:pPr>
              <w:widowControl/>
              <w:jc w:val="center"/>
            </w:pPr>
            <w:r>
              <w:rPr>
                <w:rFonts w:ascii="宋体" w:eastAsia="宋体" w:hAnsi="宋体" w:cs="宋体" w:hint="eastAsia"/>
                <w:color w:val="000000"/>
                <w:kern w:val="0"/>
                <w:sz w:val="20"/>
                <w:szCs w:val="20"/>
                <w:lang/>
              </w:rPr>
              <w:t>结果</w:t>
            </w:r>
          </w:p>
        </w:tc>
        <w:tc>
          <w:tcPr>
            <w:tcW w:w="333" w:type="pc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宋体" w:eastAsia="宋体" w:hAnsi="宋体" w:cs="宋体"/>
                <w:kern w:val="0"/>
                <w:sz w:val="20"/>
                <w:szCs w:val="20"/>
                <w:lang/>
              </w:rPr>
            </w:pPr>
            <w:r>
              <w:rPr>
                <w:rFonts w:ascii="宋体" w:eastAsia="宋体" w:hAnsi="宋体" w:cs="宋体" w:hint="eastAsia"/>
                <w:kern w:val="0"/>
                <w:sz w:val="20"/>
                <w:szCs w:val="20"/>
                <w:lang/>
              </w:rPr>
              <w:t>尚未</w:t>
            </w:r>
          </w:p>
          <w:p w:rsidR="00AD3FA7" w:rsidRDefault="00115616">
            <w:pPr>
              <w:widowControl/>
              <w:jc w:val="center"/>
            </w:pPr>
            <w:r>
              <w:rPr>
                <w:rFonts w:ascii="宋体" w:eastAsia="宋体" w:hAnsi="宋体" w:cs="宋体" w:hint="eastAsia"/>
                <w:kern w:val="0"/>
                <w:sz w:val="20"/>
                <w:szCs w:val="20"/>
                <w:lang/>
              </w:rPr>
              <w:t>审结</w:t>
            </w:r>
          </w:p>
        </w:tc>
        <w:tc>
          <w:tcPr>
            <w:tcW w:w="335" w:type="pc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pPr>
            <w:r>
              <w:rPr>
                <w:rFonts w:ascii="宋体" w:eastAsia="宋体" w:hAnsi="宋体" w:cs="宋体" w:hint="eastAsia"/>
                <w:color w:val="000000"/>
                <w:kern w:val="0"/>
                <w:sz w:val="20"/>
                <w:szCs w:val="20"/>
                <w:lang/>
              </w:rPr>
              <w:t>总计</w:t>
            </w:r>
          </w:p>
        </w:tc>
      </w:tr>
      <w:tr w:rsidR="00AD3FA7">
        <w:trPr>
          <w:trHeight w:val="672"/>
          <w:jc w:val="center"/>
        </w:trPr>
        <w:tc>
          <w:tcPr>
            <w:tcW w:w="332"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2"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2"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2</w:t>
            </w:r>
          </w:p>
        </w:tc>
        <w:tc>
          <w:tcPr>
            <w:tcW w:w="332"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4"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2</w:t>
            </w:r>
          </w:p>
        </w:tc>
        <w:tc>
          <w:tcPr>
            <w:tcW w:w="332"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2"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3"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3"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4"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3"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3"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3"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3"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widowControl/>
              <w:jc w:val="center"/>
              <w:rPr>
                <w:rFonts w:ascii="Times New Roman" w:hAnsi="Times New Roman" w:cs="Times New Roman"/>
                <w:sz w:val="20"/>
                <w:szCs w:val="20"/>
              </w:rPr>
            </w:pPr>
            <w:r>
              <w:rPr>
                <w:rFonts w:ascii="Times New Roman" w:eastAsia="黑体" w:hAnsi="Times New Roman" w:cs="Times New Roman"/>
                <w:kern w:val="0"/>
                <w:sz w:val="20"/>
                <w:szCs w:val="20"/>
                <w:lang/>
              </w:rPr>
              <w:t>0</w:t>
            </w:r>
          </w:p>
        </w:tc>
        <w:tc>
          <w:tcPr>
            <w:tcW w:w="335"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D3FA7" w:rsidRDefault="00115616">
            <w:pPr>
              <w:jc w:val="center"/>
              <w:rPr>
                <w:rFonts w:ascii="Times New Roman" w:hAnsi="Times New Roman" w:cs="Times New Roman"/>
                <w:sz w:val="20"/>
                <w:szCs w:val="20"/>
              </w:rPr>
            </w:pPr>
            <w:r>
              <w:rPr>
                <w:rFonts w:ascii="Times New Roman" w:hAnsi="Times New Roman" w:cs="Times New Roman"/>
                <w:sz w:val="20"/>
                <w:szCs w:val="20"/>
              </w:rPr>
              <w:t>0</w:t>
            </w:r>
          </w:p>
        </w:tc>
      </w:tr>
    </w:tbl>
    <w:p w:rsidR="00AD3FA7" w:rsidRDefault="00AD3FA7">
      <w:pPr>
        <w:widowControl/>
        <w:jc w:val="left"/>
      </w:pPr>
    </w:p>
    <w:p w:rsidR="00AD3FA7" w:rsidRDefault="00115616">
      <w:pPr>
        <w:pStyle w:val="a5"/>
        <w:widowControl/>
        <w:shd w:val="clear" w:color="auto" w:fill="FFFFFF"/>
        <w:spacing w:beforeAutospacing="0" w:afterAutospacing="0"/>
        <w:ind w:firstLineChars="200" w:firstLine="482"/>
        <w:jc w:val="both"/>
        <w:rPr>
          <w:rFonts w:ascii="Times New Roman" w:eastAsia="宋体" w:hAnsi="Times New Roman"/>
          <w:color w:val="333333"/>
          <w:szCs w:val="24"/>
        </w:rPr>
      </w:pPr>
      <w:r>
        <w:rPr>
          <w:rFonts w:ascii="Times New Roman" w:eastAsia="宋体" w:hAnsi="Times New Roman"/>
          <w:b/>
          <w:bCs/>
          <w:color w:val="333333"/>
          <w:szCs w:val="24"/>
          <w:shd w:val="clear" w:color="auto" w:fill="FFFFFF"/>
        </w:rPr>
        <w:t>五、存在的主要问题及改进情况</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lastRenderedPageBreak/>
        <w:t>202</w:t>
      </w:r>
      <w:r>
        <w:rPr>
          <w:rFonts w:ascii="Times New Roman" w:eastAsia="宋体" w:hAnsi="Times New Roman"/>
          <w:szCs w:val="24"/>
          <w:shd w:val="clear" w:color="auto" w:fill="FFFFFF"/>
        </w:rPr>
        <w:t>1</w:t>
      </w:r>
      <w:r>
        <w:rPr>
          <w:rFonts w:ascii="Times New Roman" w:eastAsia="宋体" w:hAnsi="Times New Roman"/>
          <w:szCs w:val="24"/>
          <w:shd w:val="clear" w:color="auto" w:fill="FFFFFF"/>
        </w:rPr>
        <w:t>年，我区政务公开工作取得了一定的成效，但与上级要求</w:t>
      </w:r>
      <w:r>
        <w:rPr>
          <w:rFonts w:ascii="Times New Roman" w:eastAsia="宋体" w:hAnsi="Times New Roman"/>
          <w:szCs w:val="24"/>
          <w:shd w:val="clear" w:color="auto" w:fill="FFFFFF"/>
        </w:rPr>
        <w:t>及</w:t>
      </w:r>
      <w:r>
        <w:rPr>
          <w:rFonts w:ascii="Times New Roman" w:eastAsia="宋体" w:hAnsi="Times New Roman"/>
          <w:szCs w:val="24"/>
          <w:shd w:val="clear" w:color="auto" w:fill="FFFFFF"/>
        </w:rPr>
        <w:t>人民群众的期待相比，还存在</w:t>
      </w:r>
      <w:r>
        <w:rPr>
          <w:rFonts w:ascii="Times New Roman" w:eastAsia="宋体" w:hAnsi="Times New Roman"/>
          <w:szCs w:val="24"/>
          <w:shd w:val="clear" w:color="auto" w:fill="FFFFFF"/>
        </w:rPr>
        <w:t>一定的</w:t>
      </w:r>
      <w:r>
        <w:rPr>
          <w:rFonts w:ascii="Times New Roman" w:eastAsia="宋体" w:hAnsi="Times New Roman"/>
          <w:szCs w:val="24"/>
          <w:shd w:val="clear" w:color="auto" w:fill="FFFFFF"/>
        </w:rPr>
        <w:t>差距。主要表现在：政府信息公开的形式</w:t>
      </w:r>
      <w:r>
        <w:rPr>
          <w:rFonts w:ascii="Times New Roman" w:eastAsia="宋体" w:hAnsi="Times New Roman"/>
          <w:szCs w:val="24"/>
          <w:shd w:val="clear" w:color="auto" w:fill="FFFFFF"/>
        </w:rPr>
        <w:t>有待进一步</w:t>
      </w:r>
      <w:r>
        <w:rPr>
          <w:rFonts w:ascii="Times New Roman" w:eastAsia="宋体" w:hAnsi="Times New Roman"/>
          <w:szCs w:val="24"/>
          <w:shd w:val="clear" w:color="auto" w:fill="FFFFFF"/>
        </w:rPr>
        <w:t>丰富</w:t>
      </w:r>
      <w:r>
        <w:rPr>
          <w:rFonts w:ascii="Times New Roman" w:eastAsia="宋体" w:hAnsi="Times New Roman"/>
          <w:szCs w:val="24"/>
          <w:shd w:val="clear" w:color="auto" w:fill="FFFFFF"/>
        </w:rPr>
        <w:t>；</w:t>
      </w:r>
      <w:r>
        <w:rPr>
          <w:rFonts w:ascii="Times New Roman" w:eastAsia="宋体" w:hAnsi="Times New Roman"/>
          <w:szCs w:val="24"/>
          <w:shd w:val="clear" w:color="auto" w:fill="FFFFFF"/>
        </w:rPr>
        <w:t>部分重点领域信息公开</w:t>
      </w:r>
      <w:r>
        <w:rPr>
          <w:rFonts w:ascii="Times New Roman" w:eastAsia="宋体" w:hAnsi="Times New Roman"/>
          <w:szCs w:val="24"/>
          <w:shd w:val="clear" w:color="auto" w:fill="FFFFFF"/>
        </w:rPr>
        <w:t>的</w:t>
      </w:r>
      <w:r>
        <w:rPr>
          <w:rFonts w:ascii="Times New Roman" w:eastAsia="宋体" w:hAnsi="Times New Roman"/>
          <w:szCs w:val="24"/>
          <w:shd w:val="clear" w:color="auto" w:fill="FFFFFF"/>
        </w:rPr>
        <w:t>力度有待进一步加强；</w:t>
      </w:r>
      <w:r>
        <w:rPr>
          <w:rFonts w:ascii="Times New Roman" w:eastAsia="宋体" w:hAnsi="Times New Roman"/>
          <w:szCs w:val="24"/>
          <w:shd w:val="clear" w:color="auto" w:fill="FFFFFF"/>
        </w:rPr>
        <w:t>政府信息公开工作人员的专业素养有待进一步提高</w:t>
      </w:r>
      <w:r>
        <w:rPr>
          <w:rFonts w:ascii="Times New Roman" w:eastAsia="宋体" w:hAnsi="Times New Roman"/>
          <w:szCs w:val="24"/>
          <w:shd w:val="clear" w:color="auto" w:fill="FFFFFF"/>
        </w:rPr>
        <w:t>。下一步，我区将从以下三个方面予以改进：</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一是进一步拓展政府信息公开形式。针对会议开放、新闻发布等信息，除了按照国家和</w:t>
      </w:r>
      <w:r>
        <w:rPr>
          <w:rFonts w:ascii="Times New Roman" w:eastAsia="宋体" w:hAnsi="Times New Roman"/>
          <w:szCs w:val="24"/>
          <w:shd w:val="clear" w:color="auto" w:fill="FFFFFF"/>
        </w:rPr>
        <w:t>省市有关要求</w:t>
      </w:r>
      <w:r>
        <w:rPr>
          <w:rFonts w:ascii="Times New Roman" w:eastAsia="宋体" w:hAnsi="Times New Roman"/>
          <w:szCs w:val="24"/>
          <w:shd w:val="clear" w:color="auto" w:fill="FFFFFF"/>
        </w:rPr>
        <w:t>及时、准确、全面予以公开外，还要更多地增加图片、视频、直播等公开形式，让群众更直观地获取信息，及时回应群众期盼，接受群众监督。</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二是进一步加大重点领域信息公开力度。更充分地扩大政府信息公开范围，特别是对于群众最关切、与群众利益密切相关的教育、医疗、重大项目建设等领域信息，要更大力度地予以公开，切实达到便民的效果。</w:t>
      </w:r>
    </w:p>
    <w:p w:rsidR="00AD3FA7" w:rsidRDefault="00115616">
      <w:pPr>
        <w:pStyle w:val="a5"/>
        <w:widowControl/>
        <w:shd w:val="clear" w:color="auto" w:fill="FFFFFF"/>
        <w:spacing w:beforeAutospacing="0" w:afterAutospacing="0"/>
        <w:ind w:firstLineChars="200" w:firstLine="480"/>
        <w:jc w:val="both"/>
        <w:rPr>
          <w:rFonts w:ascii="Times New Roman" w:eastAsia="宋体" w:hAnsi="Times New Roman"/>
          <w:szCs w:val="24"/>
          <w:shd w:val="clear" w:color="auto" w:fill="FFFFFF"/>
        </w:rPr>
      </w:pPr>
      <w:r>
        <w:rPr>
          <w:rFonts w:ascii="Times New Roman" w:eastAsia="宋体" w:hAnsi="Times New Roman"/>
          <w:szCs w:val="24"/>
          <w:shd w:val="clear" w:color="auto" w:fill="FFFFFF"/>
        </w:rPr>
        <w:t>三是进一步</w:t>
      </w:r>
      <w:r>
        <w:rPr>
          <w:rFonts w:ascii="Times New Roman" w:eastAsia="宋体" w:hAnsi="Times New Roman"/>
          <w:szCs w:val="24"/>
          <w:shd w:val="clear" w:color="auto" w:fill="FFFFFF"/>
        </w:rPr>
        <w:t>完善政府信息公开工作队伍建设。通过集中培训、点对点指导、正反面案例</w:t>
      </w:r>
      <w:r>
        <w:rPr>
          <w:rFonts w:ascii="Times New Roman" w:eastAsia="宋体" w:hAnsi="Times New Roman" w:hint="eastAsia"/>
          <w:szCs w:val="24"/>
          <w:shd w:val="clear" w:color="auto" w:fill="FFFFFF"/>
        </w:rPr>
        <w:t>分享</w:t>
      </w:r>
      <w:r>
        <w:rPr>
          <w:rFonts w:ascii="Times New Roman" w:eastAsia="宋体" w:hAnsi="Times New Roman"/>
          <w:szCs w:val="24"/>
          <w:shd w:val="clear" w:color="auto" w:fill="FFFFFF"/>
        </w:rPr>
        <w:t>等多种方式，增强全区各单位对政务公开工作的重视程度，提高政务公开工作人员专业知识和技能，提升我区政务公开工作水平。</w:t>
      </w:r>
    </w:p>
    <w:p w:rsidR="00AD3FA7" w:rsidRDefault="00115616">
      <w:pPr>
        <w:pStyle w:val="a5"/>
        <w:widowControl/>
        <w:shd w:val="clear" w:color="auto" w:fill="FFFFFF"/>
        <w:spacing w:beforeAutospacing="0" w:afterAutospacing="0"/>
        <w:ind w:firstLineChars="200" w:firstLine="482"/>
        <w:jc w:val="both"/>
        <w:rPr>
          <w:rFonts w:ascii="Times New Roman" w:eastAsia="宋体" w:hAnsi="Times New Roman"/>
          <w:color w:val="333333"/>
          <w:szCs w:val="24"/>
        </w:rPr>
      </w:pPr>
      <w:r>
        <w:rPr>
          <w:rFonts w:ascii="Times New Roman" w:eastAsia="宋体" w:hAnsi="Times New Roman"/>
          <w:b/>
          <w:bCs/>
          <w:color w:val="333333"/>
          <w:szCs w:val="24"/>
          <w:shd w:val="clear" w:color="auto" w:fill="FFFFFF"/>
        </w:rPr>
        <w:t>六、其他需要报告的事项</w:t>
      </w:r>
    </w:p>
    <w:p w:rsidR="00AD3FA7" w:rsidRDefault="00642295" w:rsidP="00642295">
      <w:pPr>
        <w:ind w:firstLineChars="200" w:firstLine="480"/>
        <w:rPr>
          <w:rFonts w:ascii="Times New Roman" w:hAnsi="Times New Roman" w:cs="Times New Roman"/>
        </w:rPr>
      </w:pPr>
      <w:r w:rsidRPr="00642295">
        <w:rPr>
          <w:rFonts w:ascii="Times New Roman" w:eastAsia="宋体" w:hAnsi="Times New Roman" w:cs="Times New Roman" w:hint="eastAsia"/>
          <w:color w:val="333333"/>
          <w:sz w:val="24"/>
          <w:szCs w:val="24"/>
          <w:shd w:val="clear" w:color="auto" w:fill="FFFFFF"/>
        </w:rPr>
        <w:t>本年度未收取政府信息公开处理费</w:t>
      </w:r>
      <w:r w:rsidR="00115616">
        <w:rPr>
          <w:rFonts w:ascii="Times New Roman" w:eastAsia="宋体" w:hAnsi="Times New Roman" w:cs="Times New Roman"/>
          <w:color w:val="333333"/>
          <w:sz w:val="24"/>
          <w:szCs w:val="24"/>
          <w:shd w:val="clear" w:color="auto" w:fill="FFFFFF"/>
        </w:rPr>
        <w:t>。</w:t>
      </w:r>
    </w:p>
    <w:sectPr w:rsidR="00AD3FA7" w:rsidSect="00AD3FA7">
      <w:footerReference w:type="default" r:id="rId7"/>
      <w:pgSz w:w="11906" w:h="16838"/>
      <w:pgMar w:top="2098"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616" w:rsidRDefault="00115616" w:rsidP="00AD3FA7">
      <w:r>
        <w:separator/>
      </w:r>
    </w:p>
  </w:endnote>
  <w:endnote w:type="continuationSeparator" w:id="1">
    <w:p w:rsidR="00115616" w:rsidRDefault="00115616" w:rsidP="00AD3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A7" w:rsidRDefault="00AD3FA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D3FA7" w:rsidRDefault="00115616">
                <w:pPr>
                  <w:pStyle w:val="a3"/>
                  <w:rPr>
                    <w:rFonts w:ascii="Times New Roman" w:hAnsi="Times New Roman" w:cs="Times New Roman"/>
                    <w:sz w:val="28"/>
                    <w:szCs w:val="28"/>
                  </w:rPr>
                </w:pPr>
                <w:r>
                  <w:rPr>
                    <w:rFonts w:ascii="Times New Roman" w:hAnsi="Times New Roman" w:cs="Times New Roman"/>
                    <w:sz w:val="28"/>
                    <w:szCs w:val="28"/>
                  </w:rPr>
                  <w:t>—</w:t>
                </w:r>
                <w:r w:rsidR="00AD3FA7">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AD3FA7">
                  <w:rPr>
                    <w:rFonts w:ascii="Times New Roman" w:hAnsi="Times New Roman" w:cs="Times New Roman"/>
                    <w:sz w:val="28"/>
                    <w:szCs w:val="28"/>
                  </w:rPr>
                  <w:fldChar w:fldCharType="separate"/>
                </w:r>
                <w:r w:rsidR="00642295">
                  <w:rPr>
                    <w:rFonts w:ascii="Times New Roman" w:hAnsi="Times New Roman" w:cs="Times New Roman"/>
                    <w:noProof/>
                    <w:sz w:val="28"/>
                    <w:szCs w:val="28"/>
                  </w:rPr>
                  <w:t>3</w:t>
                </w:r>
                <w:r w:rsidR="00AD3FA7">
                  <w:rPr>
                    <w:rFonts w:ascii="Times New Roman" w:hAnsi="Times New Roman" w:cs="Times New Roman"/>
                    <w:sz w:val="28"/>
                    <w:szCs w:val="28"/>
                  </w:rPr>
                  <w:fldChar w:fldCharType="end"/>
                </w:r>
                <w:r>
                  <w:rPr>
                    <w:rFonts w:ascii="Times New Roman" w:hAnsi="Times New Roman" w:cs="Times New Roman"/>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616" w:rsidRDefault="00115616" w:rsidP="00AD3FA7">
      <w:r>
        <w:separator/>
      </w:r>
    </w:p>
  </w:footnote>
  <w:footnote w:type="continuationSeparator" w:id="1">
    <w:p w:rsidR="00115616" w:rsidRDefault="00115616" w:rsidP="00AD3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99"/>
  <w:drawingGridVerticalSpacing w:val="283"/>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4FE13B9"/>
    <w:rsid w:val="00115616"/>
    <w:rsid w:val="00642295"/>
    <w:rsid w:val="00AD3FA7"/>
    <w:rsid w:val="0B176058"/>
    <w:rsid w:val="0BC731B4"/>
    <w:rsid w:val="0CEB29B1"/>
    <w:rsid w:val="0CF66F4D"/>
    <w:rsid w:val="102139A6"/>
    <w:rsid w:val="116B6384"/>
    <w:rsid w:val="120978DC"/>
    <w:rsid w:val="12303718"/>
    <w:rsid w:val="131132FA"/>
    <w:rsid w:val="15146C09"/>
    <w:rsid w:val="155A5690"/>
    <w:rsid w:val="18E831AB"/>
    <w:rsid w:val="1A402C78"/>
    <w:rsid w:val="1A9B1BA8"/>
    <w:rsid w:val="1AE13B23"/>
    <w:rsid w:val="1B871818"/>
    <w:rsid w:val="2125720E"/>
    <w:rsid w:val="223A19E1"/>
    <w:rsid w:val="233F32EC"/>
    <w:rsid w:val="294A5E27"/>
    <w:rsid w:val="2A272F19"/>
    <w:rsid w:val="2C9A4EC0"/>
    <w:rsid w:val="2D3E5E5B"/>
    <w:rsid w:val="2DBC675C"/>
    <w:rsid w:val="30EE2B85"/>
    <w:rsid w:val="34360C89"/>
    <w:rsid w:val="34FE13B9"/>
    <w:rsid w:val="362829E1"/>
    <w:rsid w:val="376844B5"/>
    <w:rsid w:val="380C226B"/>
    <w:rsid w:val="3CDA6030"/>
    <w:rsid w:val="3D485717"/>
    <w:rsid w:val="3D892F65"/>
    <w:rsid w:val="3F361BC7"/>
    <w:rsid w:val="41A07551"/>
    <w:rsid w:val="42D473DE"/>
    <w:rsid w:val="45E34EE8"/>
    <w:rsid w:val="4A0D7D86"/>
    <w:rsid w:val="4AE93880"/>
    <w:rsid w:val="4D0C11DB"/>
    <w:rsid w:val="50CD3621"/>
    <w:rsid w:val="519A7A59"/>
    <w:rsid w:val="5A5070BF"/>
    <w:rsid w:val="5D327901"/>
    <w:rsid w:val="5D887CEE"/>
    <w:rsid w:val="5DDD7D4F"/>
    <w:rsid w:val="603066EB"/>
    <w:rsid w:val="65EB7B29"/>
    <w:rsid w:val="691C276C"/>
    <w:rsid w:val="69311993"/>
    <w:rsid w:val="6BCB3652"/>
    <w:rsid w:val="6D85139E"/>
    <w:rsid w:val="6E95001C"/>
    <w:rsid w:val="6F181CC4"/>
    <w:rsid w:val="6F533817"/>
    <w:rsid w:val="731B51F1"/>
    <w:rsid w:val="76FE3E46"/>
    <w:rsid w:val="7ACF29FC"/>
    <w:rsid w:val="7B506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3FA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D3FA7"/>
    <w:pPr>
      <w:tabs>
        <w:tab w:val="center" w:pos="4153"/>
        <w:tab w:val="right" w:pos="8306"/>
      </w:tabs>
      <w:snapToGrid w:val="0"/>
      <w:jc w:val="left"/>
    </w:pPr>
    <w:rPr>
      <w:sz w:val="18"/>
    </w:rPr>
  </w:style>
  <w:style w:type="paragraph" w:styleId="a4">
    <w:name w:val="header"/>
    <w:basedOn w:val="a"/>
    <w:qFormat/>
    <w:rsid w:val="00AD3F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AD3FA7"/>
    <w:pPr>
      <w:spacing w:beforeAutospacing="1" w:afterAutospacing="1"/>
      <w:jc w:val="left"/>
    </w:pPr>
    <w:rPr>
      <w:rFonts w:cs="Times New Roman"/>
      <w:kern w:val="0"/>
      <w:sz w:val="24"/>
    </w:rPr>
  </w:style>
  <w:style w:type="character" w:styleId="a6">
    <w:name w:val="Strong"/>
    <w:basedOn w:val="a0"/>
    <w:qFormat/>
    <w:rsid w:val="00AD3FA7"/>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487</Words>
  <Characters>2779</Characters>
  <Application>Microsoft Office Word</Application>
  <DocSecurity>0</DocSecurity>
  <Lines>23</Lines>
  <Paragraphs>6</Paragraphs>
  <ScaleCrop>false</ScaleCrop>
  <Company>Microsoft</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2022-02-14T08:27:00Z</cp:lastPrinted>
  <dcterms:created xsi:type="dcterms:W3CDTF">2022-01-10T07:15:00Z</dcterms:created>
  <dcterms:modified xsi:type="dcterms:W3CDTF">2023-01-10T09:24:00Z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78101AFD91954A8599FFE1FAC6D4E6D1</vt:lpwstr>
  </property>
</Properties>
</file>