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仙林街道政府</w:t>
      </w:r>
      <w:r>
        <w:rPr>
          <w:rFonts w:ascii="Times New Roman" w:hAnsi="Times New Roman" w:eastAsia="方正小标宋简体" w:cs="Times New Roman"/>
          <w:sz w:val="44"/>
          <w:szCs w:val="44"/>
        </w:rPr>
        <w:t>信息公开工作年度报告</w:t>
      </w:r>
    </w:p>
    <w:p>
      <w:pPr>
        <w:jc w:val="center"/>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22</w:t>
      </w:r>
      <w:r>
        <w:rPr>
          <w:rFonts w:hint="eastAsia" w:ascii="Times New Roman" w:hAnsi="Times New Roman" w:eastAsia="方正仿宋简体" w:cs="Times New Roman"/>
          <w:sz w:val="32"/>
          <w:szCs w:val="32"/>
        </w:rPr>
        <w:t>年，仙林街道按照</w:t>
      </w:r>
      <w:r>
        <w:rPr>
          <w:rFonts w:ascii="Times New Roman" w:hAnsi="Times New Roman" w:eastAsia="方正仿宋简体" w:cs="Times New Roman"/>
          <w:color w:val="000000"/>
          <w:sz w:val="32"/>
          <w:szCs w:val="32"/>
        </w:rPr>
        <w:t>《中华人民共和国政府信息公开条例》</w:t>
      </w:r>
      <w:r>
        <w:rPr>
          <w:rFonts w:hint="eastAsia" w:ascii="Times New Roman" w:hAnsi="Times New Roman" w:eastAsia="方正仿宋简体" w:cs="Times New Roman"/>
          <w:color w:val="000000"/>
          <w:sz w:val="32"/>
          <w:szCs w:val="32"/>
        </w:rPr>
        <w:t>要求，对街道政府信息依法依规进行公开</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全年共公开信息</w:t>
      </w:r>
      <w:r>
        <w:rPr>
          <w:rFonts w:hint="eastAsia" w:ascii="Times New Roman" w:hAnsi="Times New Roman" w:eastAsia="方正仿宋简体" w:cs="Times New Roman"/>
          <w:color w:val="000000"/>
          <w:sz w:val="32"/>
          <w:szCs w:val="32"/>
          <w:lang w:val="en-US" w:eastAsia="zh-CN"/>
        </w:rPr>
        <w:t>536</w:t>
      </w:r>
      <w:r>
        <w:rPr>
          <w:rFonts w:hint="eastAsia" w:ascii="Times New Roman" w:hAnsi="Times New Roman" w:eastAsia="方正仿宋简体" w:cs="Times New Roman"/>
          <w:color w:val="000000"/>
          <w:sz w:val="32"/>
          <w:szCs w:val="32"/>
        </w:rPr>
        <w:t>条，较好地起到了及时向居民群众汇报工作、听取意见、告知重大事项的作用。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ascii="Times New Roman" w:hAnsi="Times New Roman" w:eastAsia="方正仿宋简体" w:cs="Times New Roman"/>
          <w:color w:val="000000"/>
          <w:sz w:val="32"/>
          <w:szCs w:val="32"/>
        </w:rPr>
      </w:pPr>
      <w:r>
        <w:rPr>
          <w:rFonts w:hint="eastAsia" w:ascii="楷体" w:hAnsi="楷体" w:eastAsia="楷体" w:cs="Times New Roman"/>
          <w:b/>
          <w:color w:val="000000"/>
          <w:sz w:val="32"/>
          <w:szCs w:val="32"/>
        </w:rPr>
        <w:t>（一）建立工作机构，加强领导。</w:t>
      </w:r>
      <w:r>
        <w:rPr>
          <w:rFonts w:hint="eastAsia" w:ascii="Times New Roman" w:hAnsi="Times New Roman" w:eastAsia="方正仿宋简体" w:cs="Times New Roman"/>
          <w:color w:val="000000"/>
          <w:sz w:val="32"/>
          <w:szCs w:val="32"/>
        </w:rPr>
        <w:t>街道高度重视政务公开工作，根据职责分工，围绕当前街道中心工作，狠抓落实。按照</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主要领导亲自抓，分管领导具体抓，专门机构抓落实”的工作要求，明确了责任分工，根据人员变动和工作需要及时调整了政府信息公开工作领导小组成员，领导小组组长由街道分管领导担任。领导小组下设办公室，负责政府信息公开日常事务。</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75" w:right="140" w:firstLine="602"/>
        <w:textAlignment w:val="baseline"/>
        <w:rPr>
          <w:rFonts w:hint="eastAsia" w:ascii="Times New Roman" w:hAnsi="Times New Roman" w:eastAsia="方正仿宋简体" w:cs="Times New Roman"/>
          <w:color w:val="000000"/>
          <w:sz w:val="32"/>
          <w:szCs w:val="32"/>
        </w:rPr>
      </w:pPr>
      <w:r>
        <w:rPr>
          <w:rFonts w:hint="eastAsia" w:ascii="楷体" w:hAnsi="楷体" w:eastAsia="楷体" w:cs="Times New Roman"/>
          <w:b/>
          <w:color w:val="000000"/>
          <w:sz w:val="32"/>
          <w:szCs w:val="32"/>
        </w:rPr>
        <w:t>（二）部署工作任务，促进落实。</w:t>
      </w:r>
      <w:r>
        <w:rPr>
          <w:rFonts w:hint="eastAsia" w:ascii="Times New Roman" w:hAnsi="Times New Roman" w:eastAsia="方正仿宋简体" w:cs="Times New Roman"/>
          <w:color w:val="000000"/>
          <w:sz w:val="32"/>
          <w:szCs w:val="32"/>
        </w:rPr>
        <w:t>一是严格按照政府信息公开指南和目录编制要求，</w:t>
      </w:r>
      <w:r>
        <w:rPr>
          <w:rFonts w:ascii="Times New Roman" w:hAnsi="Times New Roman" w:eastAsia="方正仿宋简体" w:cs="Times New Roman"/>
          <w:color w:val="000000"/>
          <w:sz w:val="32"/>
          <w:szCs w:val="32"/>
        </w:rPr>
        <w:t>20</w:t>
      </w:r>
      <w:r>
        <w:rPr>
          <w:rFonts w:hint="eastAsia" w:ascii="Times New Roman" w:hAnsi="Times New Roman" w:eastAsia="方正仿宋简体" w:cs="Times New Roman"/>
          <w:color w:val="000000"/>
          <w:sz w:val="32"/>
          <w:szCs w:val="32"/>
          <w:lang w:val="en-US" w:eastAsia="zh-CN"/>
        </w:rPr>
        <w:t>22</w:t>
      </w:r>
      <w:r>
        <w:rPr>
          <w:rFonts w:hint="eastAsia" w:ascii="Times New Roman" w:hAnsi="Times New Roman" w:eastAsia="方正仿宋简体" w:cs="Times New Roman"/>
          <w:color w:val="000000"/>
          <w:sz w:val="32"/>
          <w:szCs w:val="32"/>
        </w:rPr>
        <w:t>年度共主动公开政府信息</w:t>
      </w:r>
      <w:r>
        <w:rPr>
          <w:rFonts w:hint="eastAsia" w:ascii="Times New Roman" w:hAnsi="Times New Roman" w:eastAsia="方正仿宋简体" w:cs="Times New Roman"/>
          <w:color w:val="000000"/>
          <w:sz w:val="32"/>
          <w:szCs w:val="32"/>
          <w:lang w:val="en-US" w:eastAsia="zh-CN"/>
        </w:rPr>
        <w:t>198</w:t>
      </w:r>
      <w:r>
        <w:rPr>
          <w:rFonts w:hint="eastAsia" w:ascii="Times New Roman" w:hAnsi="Times New Roman" w:eastAsia="方正仿宋简体" w:cs="Times New Roman"/>
          <w:color w:val="000000"/>
          <w:sz w:val="32"/>
          <w:szCs w:val="32"/>
        </w:rPr>
        <w:t>条，其中全文电子化达</w:t>
      </w:r>
      <w:r>
        <w:rPr>
          <w:rFonts w:ascii="Times New Roman" w:hAnsi="Times New Roman" w:eastAsia="方正仿宋简体" w:cs="Times New Roman"/>
          <w:color w:val="000000"/>
          <w:sz w:val="32"/>
          <w:szCs w:val="32"/>
        </w:rPr>
        <w:t>100%</w:t>
      </w:r>
      <w:r>
        <w:rPr>
          <w:rFonts w:hint="eastAsia" w:ascii="Times New Roman" w:hAnsi="Times New Roman" w:eastAsia="方正仿宋简体" w:cs="Times New Roman"/>
          <w:color w:val="000000"/>
          <w:sz w:val="32"/>
          <w:szCs w:val="32"/>
        </w:rPr>
        <w:t>。在20</w:t>
      </w:r>
      <w:r>
        <w:rPr>
          <w:rFonts w:hint="eastAsia" w:ascii="Times New Roman" w:hAnsi="Times New Roman" w:eastAsia="方正仿宋简体" w:cs="Times New Roman"/>
          <w:color w:val="000000"/>
          <w:sz w:val="32"/>
          <w:szCs w:val="32"/>
          <w:lang w:val="en-US" w:eastAsia="zh-CN"/>
        </w:rPr>
        <w:t>22</w:t>
      </w:r>
      <w:r>
        <w:rPr>
          <w:rFonts w:hint="eastAsia" w:ascii="Times New Roman" w:hAnsi="Times New Roman" w:eastAsia="方正仿宋简体" w:cs="Times New Roman"/>
          <w:color w:val="000000"/>
          <w:sz w:val="32"/>
          <w:szCs w:val="32"/>
        </w:rPr>
        <w:t>年度主动公开的信息中，机构职能类信息</w:t>
      </w:r>
      <w:r>
        <w:rPr>
          <w:rFonts w:hint="eastAsia" w:ascii="Times New Roman" w:hAnsi="Times New Roman" w:eastAsia="方正仿宋简体" w:cs="Times New Roman"/>
          <w:color w:val="000000"/>
          <w:sz w:val="32"/>
          <w:szCs w:val="32"/>
          <w:lang w:val="en-US" w:eastAsia="zh-CN"/>
        </w:rPr>
        <w:t>56</w:t>
      </w:r>
      <w:r>
        <w:rPr>
          <w:rFonts w:hint="eastAsia" w:ascii="Times New Roman" w:hAnsi="Times New Roman" w:eastAsia="方正仿宋简体" w:cs="Times New Roman"/>
          <w:color w:val="000000"/>
          <w:sz w:val="32"/>
          <w:szCs w:val="32"/>
        </w:rPr>
        <w:t>条；民生发展类信息</w:t>
      </w:r>
      <w:r>
        <w:rPr>
          <w:rFonts w:hint="eastAsia" w:ascii="Times New Roman" w:hAnsi="Times New Roman" w:eastAsia="方正仿宋简体" w:cs="Times New Roman"/>
          <w:color w:val="000000"/>
          <w:sz w:val="32"/>
          <w:szCs w:val="32"/>
          <w:lang w:val="en-US" w:eastAsia="zh-CN"/>
        </w:rPr>
        <w:t>254</w:t>
      </w:r>
      <w:r>
        <w:rPr>
          <w:rFonts w:hint="eastAsia" w:ascii="Times New Roman" w:hAnsi="Times New Roman" w:eastAsia="方正仿宋简体" w:cs="Times New Roman"/>
          <w:color w:val="000000"/>
          <w:sz w:val="32"/>
          <w:szCs w:val="32"/>
        </w:rPr>
        <w:t>条；安全生产、应急管理类</w:t>
      </w:r>
      <w:r>
        <w:rPr>
          <w:rFonts w:hint="eastAsia" w:ascii="Times New Roman" w:hAnsi="Times New Roman" w:eastAsia="方正仿宋简体" w:cs="Times New Roman"/>
          <w:color w:val="000000"/>
          <w:sz w:val="32"/>
          <w:szCs w:val="32"/>
          <w:lang w:val="en-US" w:eastAsia="zh-CN"/>
        </w:rPr>
        <w:t>28</w:t>
      </w:r>
      <w:r>
        <w:rPr>
          <w:rFonts w:hint="eastAsia" w:ascii="Times New Roman" w:hAnsi="Times New Roman" w:eastAsia="方正仿宋简体" w:cs="Times New Roman"/>
          <w:color w:val="000000"/>
          <w:sz w:val="32"/>
          <w:szCs w:val="32"/>
        </w:rPr>
        <w:t>条。二是做好信息公开网站建设，落实街道街信息公开建设和内容保障工作，及时、准确地公开和维护机构职能类、政策、规范性文件类、规划计划类等栏目信息。</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三）建立工作制度，提升质量。在区政务办的业务指导下，结合本单位实际情况，一是及时健全仙林街道人民政府信息公开工作机制；二是健全信息公开培训机制，加强政府信息公开工作人员的培训，增强信息公开人员的业务水平。重点认真抓好《政府信息公开条例》、相关的文件材料的学习，积极组织工作人员参加区政府组织的政府信息公开培训、做好保密审查教育等；三是遵循谁提供、谁审核、谁负责的原则，严格进行保密审查。在推进政府信息公开工作中，严格坚持政府信息公开保密工作程序，建立健全信息发布保密审查机制，由保密分管领导和主要领导审批。</w:t>
      </w: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方正仿宋简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二、主动公开政府信息情况</w:t>
      </w:r>
    </w:p>
    <w:tbl>
      <w:tblPr>
        <w:tblStyle w:val="11"/>
        <w:tblW w:w="9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9745" w:type="dxa"/>
            <w:gridSpan w:val="4"/>
            <w:shd w:val="clear" w:color="auto" w:fill="C6D9F1"/>
            <w:vAlign w:val="top"/>
          </w:tcPr>
          <w:p>
            <w:pPr>
              <w:spacing w:before="212" w:line="185" w:lineRule="auto"/>
              <w:ind w:firstLine="3613"/>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1"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top"/>
          </w:tcPr>
          <w:p>
            <w:pPr>
              <w:spacing w:before="201" w:line="185" w:lineRule="auto"/>
              <w:ind w:firstLine="378"/>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top"/>
          </w:tcPr>
          <w:p>
            <w:pPr>
              <w:spacing w:before="201" w:line="185" w:lineRule="auto"/>
              <w:ind w:firstLine="379"/>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top"/>
          </w:tcPr>
          <w:p>
            <w:pPr>
              <w:spacing w:before="201" w:line="185" w:lineRule="auto"/>
              <w:ind w:firstLine="386"/>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0" w:line="185" w:lineRule="auto"/>
              <w:ind w:firstLine="943"/>
              <w:rPr>
                <w:rFonts w:ascii="宋体" w:hAnsi="宋体" w:eastAsia="宋体" w:cs="宋体"/>
                <w:sz w:val="28"/>
                <w:szCs w:val="28"/>
              </w:rPr>
            </w:pPr>
            <w:r>
              <w:rPr>
                <w:rFonts w:ascii="宋体" w:hAnsi="宋体" w:eastAsia="宋体" w:cs="宋体"/>
                <w:spacing w:val="-3"/>
                <w:sz w:val="28"/>
                <w:szCs w:val="28"/>
              </w:rPr>
              <w:t>规章</w:t>
            </w:r>
          </w:p>
        </w:tc>
        <w:tc>
          <w:tcPr>
            <w:tcW w:w="2433"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1" w:line="185" w:lineRule="auto"/>
              <w:ind w:firstLine="245"/>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5" w:line="185" w:lineRule="auto"/>
              <w:ind w:firstLine="3613"/>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4"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4"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6" w:line="185" w:lineRule="auto"/>
              <w:ind w:firstLine="665"/>
              <w:jc w:val="center"/>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top"/>
          </w:tcPr>
          <w:p>
            <w:pPr>
              <w:jc w:val="center"/>
              <w:rPr>
                <w:rFonts w:hint="eastAsia" w:ascii="宋体" w:eastAsiaTheme="minorEastAsia"/>
                <w:sz w:val="21"/>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9" w:line="185" w:lineRule="auto"/>
              <w:ind w:firstLine="3613"/>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9"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9"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11" w:line="185" w:lineRule="auto"/>
              <w:ind w:firstLine="665"/>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top"/>
          </w:tcPr>
          <w:p>
            <w:pPr>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14" w:line="185" w:lineRule="auto"/>
              <w:ind w:firstLine="665"/>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top"/>
          </w:tcPr>
          <w:p>
            <w:pPr>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9745" w:type="dxa"/>
            <w:gridSpan w:val="4"/>
            <w:shd w:val="clear" w:color="auto" w:fill="C6D9F1"/>
            <w:vAlign w:val="top"/>
          </w:tcPr>
          <w:p>
            <w:pPr>
              <w:spacing w:before="214" w:line="185" w:lineRule="auto"/>
              <w:ind w:firstLine="3613"/>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2440" w:type="dxa"/>
            <w:vAlign w:val="top"/>
          </w:tcPr>
          <w:p>
            <w:pPr>
              <w:spacing w:before="215"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15" w:line="185" w:lineRule="auto"/>
              <w:ind w:firstLine="1834"/>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40" w:type="dxa"/>
            <w:vAlign w:val="top"/>
          </w:tcPr>
          <w:p>
            <w:pPr>
              <w:spacing w:before="218" w:line="185" w:lineRule="auto"/>
              <w:ind w:firstLine="245"/>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top"/>
          </w:tcPr>
          <w:p>
            <w:pPr>
              <w:jc w:val="center"/>
              <w:rPr>
                <w:rFonts w:hint="eastAsia" w:ascii="宋体" w:eastAsiaTheme="minorEastAsia"/>
                <w:sz w:val="21"/>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方正仿宋简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w:t>
      </w:r>
      <w:r>
        <w:rPr>
          <w:rFonts w:ascii="黑体" w:hAnsi="黑体" w:eastAsia="黑体" w:cs="黑体"/>
          <w:color w:val="333333"/>
          <w:spacing w:val="-1"/>
          <w:sz w:val="30"/>
          <w:szCs w:val="30"/>
        </w:rPr>
        <w:t>收到和处理政府信息公开申请情况</w:t>
      </w:r>
    </w:p>
    <w:tbl>
      <w:tblPr>
        <w:tblStyle w:val="11"/>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4950" w:type="dxa"/>
            <w:gridSpan w:val="3"/>
            <w:vMerge w:val="restart"/>
            <w:tcBorders>
              <w:bottom w:val="nil"/>
            </w:tcBorders>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78" w:line="430" w:lineRule="auto"/>
              <w:ind w:left="110" w:right="101" w:firstLine="17"/>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top"/>
          </w:tcPr>
          <w:p>
            <w:pPr>
              <w:spacing w:before="248" w:line="185" w:lineRule="auto"/>
              <w:ind w:firstLine="1830"/>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top"/>
          </w:tcPr>
          <w:p>
            <w:pPr>
              <w:rPr>
                <w:rFonts w:ascii="宋体"/>
                <w:sz w:val="21"/>
              </w:rPr>
            </w:pPr>
          </w:p>
        </w:tc>
        <w:tc>
          <w:tcPr>
            <w:tcW w:w="685" w:type="dxa"/>
            <w:vMerge w:val="restart"/>
            <w:tcBorders>
              <w:bottom w:val="nil"/>
            </w:tcBorders>
            <w:vAlign w:val="top"/>
          </w:tcPr>
          <w:p>
            <w:pPr>
              <w:spacing w:line="320" w:lineRule="auto"/>
              <w:rPr>
                <w:rFonts w:ascii="宋体"/>
                <w:sz w:val="21"/>
              </w:rPr>
            </w:pPr>
          </w:p>
          <w:p>
            <w:pPr>
              <w:spacing w:line="320" w:lineRule="auto"/>
              <w:rPr>
                <w:rFonts w:ascii="宋体"/>
                <w:sz w:val="21"/>
              </w:rPr>
            </w:pPr>
          </w:p>
          <w:p>
            <w:pPr>
              <w:spacing w:before="78" w:line="430" w:lineRule="auto"/>
              <w:ind w:left="223" w:right="96" w:hanging="82"/>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pacing w:val="4"/>
                <w:sz w:val="24"/>
                <w:szCs w:val="24"/>
              </w:rPr>
              <w:t xml:space="preserve"> </w:t>
            </w:r>
            <w:r>
              <w:rPr>
                <w:rFonts w:ascii="宋体" w:hAnsi="宋体" w:eastAsia="宋体" w:cs="宋体"/>
                <w:sz w:val="24"/>
                <w:szCs w:val="24"/>
              </w:rPr>
              <w:t>人</w:t>
            </w:r>
          </w:p>
        </w:tc>
        <w:tc>
          <w:tcPr>
            <w:tcW w:w="3425" w:type="dxa"/>
            <w:gridSpan w:val="5"/>
            <w:vAlign w:val="top"/>
          </w:tcPr>
          <w:p>
            <w:pPr>
              <w:spacing w:before="234" w:line="185" w:lineRule="auto"/>
              <w:ind w:firstLine="877"/>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top"/>
          </w:tcPr>
          <w:p>
            <w:pPr>
              <w:spacing w:line="295" w:lineRule="auto"/>
              <w:rPr>
                <w:rFonts w:ascii="宋体"/>
                <w:sz w:val="21"/>
              </w:rPr>
            </w:pPr>
          </w:p>
          <w:p>
            <w:pPr>
              <w:spacing w:line="295" w:lineRule="auto"/>
              <w:rPr>
                <w:rFonts w:ascii="宋体"/>
                <w:sz w:val="21"/>
              </w:rPr>
            </w:pPr>
          </w:p>
          <w:p>
            <w:pPr>
              <w:spacing w:line="296" w:lineRule="auto"/>
              <w:rPr>
                <w:rFonts w:ascii="宋体"/>
                <w:sz w:val="21"/>
              </w:rPr>
            </w:pPr>
          </w:p>
          <w:p>
            <w:pPr>
              <w:spacing w:before="78" w:line="185" w:lineRule="auto"/>
              <w:ind w:firstLine="116"/>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top"/>
          </w:tcPr>
          <w:p>
            <w:pPr>
              <w:rPr>
                <w:rFonts w:ascii="宋体"/>
                <w:sz w:val="21"/>
              </w:rPr>
            </w:pPr>
          </w:p>
        </w:tc>
        <w:tc>
          <w:tcPr>
            <w:tcW w:w="685" w:type="dxa"/>
            <w:vMerge w:val="continue"/>
            <w:tcBorders>
              <w:top w:val="nil"/>
            </w:tcBorders>
            <w:vAlign w:val="top"/>
          </w:tcPr>
          <w:p>
            <w:pPr>
              <w:rPr>
                <w:rFonts w:ascii="宋体"/>
                <w:sz w:val="21"/>
              </w:rPr>
            </w:pPr>
          </w:p>
        </w:tc>
        <w:tc>
          <w:tcPr>
            <w:tcW w:w="683" w:type="dxa"/>
            <w:vAlign w:val="top"/>
          </w:tcPr>
          <w:p>
            <w:pPr>
              <w:spacing w:line="387" w:lineRule="auto"/>
              <w:rPr>
                <w:rFonts w:ascii="宋体"/>
                <w:sz w:val="21"/>
              </w:rPr>
            </w:pPr>
          </w:p>
          <w:p>
            <w:pPr>
              <w:spacing w:before="78" w:line="430" w:lineRule="auto"/>
              <w:ind w:left="107" w:right="93"/>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top"/>
          </w:tcPr>
          <w:p>
            <w:pPr>
              <w:spacing w:line="387" w:lineRule="auto"/>
              <w:rPr>
                <w:rFonts w:ascii="宋体"/>
                <w:sz w:val="21"/>
              </w:rPr>
            </w:pPr>
          </w:p>
          <w:p>
            <w:pPr>
              <w:spacing w:before="78" w:line="430" w:lineRule="auto"/>
              <w:ind w:left="106" w:right="92"/>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top"/>
          </w:tcPr>
          <w:p>
            <w:pPr>
              <w:spacing w:before="238" w:line="431" w:lineRule="auto"/>
              <w:ind w:left="115" w:right="91" w:hanging="5"/>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spacing w:line="204" w:lineRule="auto"/>
              <w:ind w:firstLine="111"/>
              <w:rPr>
                <w:rFonts w:ascii="宋体" w:hAnsi="宋体" w:eastAsia="宋体" w:cs="宋体"/>
                <w:sz w:val="24"/>
                <w:szCs w:val="24"/>
              </w:rPr>
            </w:pPr>
            <w:r>
              <w:rPr>
                <w:rFonts w:ascii="宋体" w:hAnsi="宋体" w:eastAsia="宋体" w:cs="宋体"/>
                <w:spacing w:val="-4"/>
                <w:sz w:val="24"/>
                <w:szCs w:val="24"/>
              </w:rPr>
              <w:t>组织</w:t>
            </w:r>
          </w:p>
        </w:tc>
        <w:tc>
          <w:tcPr>
            <w:tcW w:w="685" w:type="dxa"/>
            <w:vAlign w:val="top"/>
          </w:tcPr>
          <w:p>
            <w:pPr>
              <w:spacing w:before="238" w:line="431" w:lineRule="auto"/>
              <w:ind w:left="109" w:right="89"/>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spacing w:line="204" w:lineRule="auto"/>
              <w:ind w:firstLine="108"/>
              <w:rPr>
                <w:rFonts w:ascii="宋体" w:hAnsi="宋体" w:eastAsia="宋体" w:cs="宋体"/>
                <w:sz w:val="24"/>
                <w:szCs w:val="24"/>
              </w:rPr>
            </w:pPr>
            <w:r>
              <w:rPr>
                <w:rFonts w:ascii="宋体" w:hAnsi="宋体" w:eastAsia="宋体" w:cs="宋体"/>
                <w:spacing w:val="-3"/>
                <w:sz w:val="24"/>
                <w:szCs w:val="24"/>
              </w:rPr>
              <w:t>机构</w:t>
            </w:r>
          </w:p>
        </w:tc>
        <w:tc>
          <w:tcPr>
            <w:tcW w:w="686" w:type="dxa"/>
            <w:vAlign w:val="top"/>
          </w:tcPr>
          <w:p>
            <w:pPr>
              <w:spacing w:line="315" w:lineRule="auto"/>
              <w:rPr>
                <w:rFonts w:ascii="宋体"/>
                <w:sz w:val="21"/>
              </w:rPr>
            </w:pPr>
          </w:p>
          <w:p>
            <w:pPr>
              <w:spacing w:line="316" w:lineRule="auto"/>
              <w:rPr>
                <w:rFonts w:ascii="宋体"/>
                <w:sz w:val="21"/>
              </w:rPr>
            </w:pPr>
          </w:p>
          <w:p>
            <w:pPr>
              <w:spacing w:before="78" w:line="185" w:lineRule="auto"/>
              <w:ind w:firstLine="109"/>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top"/>
          </w:tcPr>
          <w:p>
            <w:pPr>
              <w:spacing w:before="231" w:line="185" w:lineRule="auto"/>
              <w:ind w:firstLine="63"/>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top"/>
          </w:tcPr>
          <w:p>
            <w:pPr>
              <w:spacing w:before="234" w:line="185" w:lineRule="auto"/>
              <w:ind w:firstLine="63"/>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78" w:line="431" w:lineRule="auto"/>
              <w:ind w:left="59" w:right="55"/>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top"/>
          </w:tcPr>
          <w:p>
            <w:pPr>
              <w:spacing w:before="239" w:line="185" w:lineRule="auto"/>
              <w:ind w:firstLine="57"/>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4164" w:type="dxa"/>
            <w:gridSpan w:val="2"/>
            <w:vAlign w:val="top"/>
          </w:tcPr>
          <w:p>
            <w:pPr>
              <w:spacing w:before="240" w:line="561" w:lineRule="exact"/>
              <w:ind w:firstLine="57"/>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spacing w:line="204" w:lineRule="auto"/>
              <w:ind w:firstLine="55"/>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78" w:line="432" w:lineRule="auto"/>
              <w:ind w:left="57" w:right="57"/>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top"/>
          </w:tcPr>
          <w:p>
            <w:pPr>
              <w:spacing w:before="241" w:line="185" w:lineRule="auto"/>
              <w:ind w:firstLine="70"/>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559" w:lineRule="exact"/>
              <w:ind w:firstLine="55"/>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spacing w:line="204" w:lineRule="auto"/>
              <w:ind w:firstLine="53"/>
              <w:rPr>
                <w:rFonts w:ascii="宋体" w:hAnsi="宋体" w:eastAsia="宋体" w:cs="宋体"/>
                <w:sz w:val="24"/>
                <w:szCs w:val="24"/>
              </w:rPr>
            </w:pPr>
            <w:r>
              <w:rPr>
                <w:rFonts w:ascii="宋体" w:hAnsi="宋体" w:eastAsia="宋体" w:cs="宋体"/>
                <w:sz w:val="24"/>
                <w:szCs w:val="24"/>
              </w:rPr>
              <w:t>开</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185" w:lineRule="auto"/>
              <w:ind w:firstLine="57"/>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8" w:line="185" w:lineRule="auto"/>
              <w:ind w:firstLine="51"/>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9" w:line="185" w:lineRule="auto"/>
              <w:ind w:firstLine="57"/>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2" w:line="185" w:lineRule="auto"/>
              <w:ind w:firstLine="54"/>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6" w:line="185" w:lineRule="auto"/>
              <w:ind w:firstLine="58"/>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56" w:line="185" w:lineRule="auto"/>
              <w:ind w:firstLine="53"/>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ascii="宋体"/>
                <w:sz w:val="21"/>
              </w:rPr>
            </w:pPr>
          </w:p>
        </w:tc>
        <w:tc>
          <w:tcPr>
            <w:tcW w:w="1014" w:type="dxa"/>
            <w:vAlign w:val="top"/>
          </w:tcPr>
          <w:p>
            <w:pPr>
              <w:spacing w:before="256" w:line="559" w:lineRule="exact"/>
              <w:ind w:firstLine="57"/>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spacing w:line="204" w:lineRule="auto"/>
              <w:ind w:firstLine="52"/>
              <w:rPr>
                <w:rFonts w:ascii="宋体" w:hAnsi="宋体" w:eastAsia="宋体" w:cs="宋体"/>
                <w:sz w:val="24"/>
                <w:szCs w:val="24"/>
              </w:rPr>
            </w:pPr>
            <w:r>
              <w:rPr>
                <w:rFonts w:ascii="宋体" w:hAnsi="宋体" w:eastAsia="宋体" w:cs="宋体"/>
                <w:spacing w:val="-3"/>
                <w:sz w:val="24"/>
                <w:szCs w:val="24"/>
              </w:rPr>
              <w:t>法提供</w:t>
            </w:r>
          </w:p>
        </w:tc>
        <w:tc>
          <w:tcPr>
            <w:tcW w:w="3150" w:type="dxa"/>
            <w:vAlign w:val="top"/>
          </w:tcPr>
          <w:p>
            <w:pPr>
              <w:spacing w:before="256" w:line="559" w:lineRule="exact"/>
              <w:ind w:firstLine="70"/>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spacing w:line="204" w:lineRule="auto"/>
              <w:ind w:firstLine="62"/>
              <w:rPr>
                <w:rFonts w:ascii="宋体" w:hAnsi="宋体" w:eastAsia="宋体" w:cs="宋体"/>
                <w:sz w:val="24"/>
                <w:szCs w:val="24"/>
              </w:rPr>
            </w:pPr>
            <w:r>
              <w:rPr>
                <w:rFonts w:ascii="宋体" w:hAnsi="宋体" w:eastAsia="宋体" w:cs="宋体"/>
                <w:sz w:val="24"/>
                <w:szCs w:val="24"/>
              </w:rPr>
              <w:t>息</w:t>
            </w:r>
          </w:p>
        </w:tc>
        <w:tc>
          <w:tcPr>
            <w:tcW w:w="68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150"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bookmarkStart w:id="0" w:name="_GoBack"/>
            <w:bookmarkEnd w:id="0"/>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spacing w:line="204" w:lineRule="auto"/>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spacing w:line="204" w:lineRule="auto"/>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spacing w:line="204" w:lineRule="auto"/>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164"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950"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四、政府信息公开行政复议、行政诉讼情况</w:t>
      </w:r>
    </w:p>
    <w:tbl>
      <w:tblPr>
        <w:tblStyle w:val="11"/>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spacing w:before="248" w:line="185" w:lineRule="auto"/>
              <w:ind w:firstLine="1152"/>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top"/>
          </w:tcPr>
          <w:p>
            <w:pPr>
              <w:spacing w:before="248" w:line="185" w:lineRule="auto"/>
              <w:ind w:firstLine="2773"/>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spacing w:before="206"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top"/>
          </w:tcPr>
          <w:p>
            <w:pPr>
              <w:spacing w:before="207"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top"/>
          </w:tcPr>
          <w:p>
            <w:pPr>
              <w:spacing w:before="203" w:line="180" w:lineRule="auto"/>
              <w:ind w:firstLine="528"/>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top"/>
          </w:tcPr>
          <w:p>
            <w:pPr>
              <w:spacing w:before="202" w:line="180" w:lineRule="auto"/>
              <w:ind w:firstLine="528"/>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top"/>
          </w:tcPr>
          <w:p>
            <w:pPr>
              <w:spacing w:before="200" w:line="180" w:lineRule="auto"/>
              <w:ind w:firstLine="1089"/>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top"/>
          </w:tcPr>
          <w:p>
            <w:pPr>
              <w:spacing w:before="237" w:line="185" w:lineRule="auto"/>
              <w:ind w:firstLine="665"/>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top"/>
          </w:tcPr>
          <w:p>
            <w:pPr>
              <w:spacing w:before="237" w:line="185" w:lineRule="auto"/>
              <w:ind w:firstLine="1036"/>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7" w:type="dxa"/>
            <w:vMerge w:val="continue"/>
            <w:tcBorders>
              <w:top w:val="nil"/>
            </w:tcBorders>
            <w:textDirection w:val="tbRlV"/>
            <w:vAlign w:val="top"/>
          </w:tcPr>
          <w:p>
            <w:pPr>
              <w:rPr>
                <w:rFonts w:ascii="宋体"/>
                <w:sz w:val="21"/>
              </w:rPr>
            </w:pPr>
          </w:p>
        </w:tc>
        <w:tc>
          <w:tcPr>
            <w:tcW w:w="65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9" w:type="dxa"/>
            <w:textDirection w:val="tbRlV"/>
            <w:vAlign w:val="top"/>
          </w:tcPr>
          <w:p>
            <w:pPr>
              <w:spacing w:before="200"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top"/>
          </w:tcPr>
          <w:p>
            <w:pPr>
              <w:spacing w:before="198"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top"/>
          </w:tcPr>
          <w:p>
            <w:pPr>
              <w:spacing w:before="196"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top"/>
          </w:tcPr>
          <w:p>
            <w:pPr>
              <w:spacing w:before="196"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top"/>
          </w:tcPr>
          <w:p>
            <w:pPr>
              <w:spacing w:before="194"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top"/>
          </w:tcPr>
          <w:p>
            <w:pPr>
              <w:spacing w:before="202"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8"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rPr>
          <w:rFonts w:ascii="微软雅黑" w:hAnsi="微软雅黑" w:eastAsia="微软雅黑" w:cs="宋体"/>
          <w:color w:val="555555"/>
          <w:kern w:val="0"/>
          <w:sz w:val="23"/>
          <w:szCs w:val="23"/>
        </w:rPr>
      </w:pPr>
      <w:r>
        <w:rPr>
          <w:rFonts w:hint="eastAsia" w:ascii="仿宋_GB2312" w:hAnsi="微软雅黑" w:eastAsia="仿宋_GB2312" w:cs="宋体"/>
          <w:color w:val="555555"/>
          <w:kern w:val="0"/>
          <w:sz w:val="32"/>
          <w:szCs w:val="32"/>
        </w:rPr>
        <w:t>20</w:t>
      </w:r>
      <w:r>
        <w:rPr>
          <w:rFonts w:hint="eastAsia" w:ascii="仿宋_GB2312" w:hAnsi="微软雅黑" w:eastAsia="仿宋_GB2312" w:cs="宋体"/>
          <w:color w:val="555555"/>
          <w:kern w:val="0"/>
          <w:sz w:val="32"/>
          <w:szCs w:val="32"/>
          <w:lang w:val="en-US" w:eastAsia="zh-CN"/>
        </w:rPr>
        <w:t>22</w:t>
      </w:r>
      <w:r>
        <w:rPr>
          <w:rFonts w:hint="eastAsia" w:ascii="仿宋_GB2312" w:hAnsi="微软雅黑" w:eastAsia="仿宋_GB2312" w:cs="宋体"/>
          <w:color w:val="555555"/>
          <w:kern w:val="0"/>
          <w:sz w:val="32"/>
          <w:szCs w:val="32"/>
        </w:rPr>
        <w:t>年，仙林街道通过积极努力、认真细致、扎实负责的工作，政府信息公开工作有了新的进展。但也存在一些不足，一是信息公开制度有待进一步完善；二是主动公开信息内容有待进一步充实。在接下来的工作中，我们将进一步完善政府信息公开制度，加强对新修订《条例》内容的学习，进一步梳理街道信息公开内容，扩宽公开渠道，并加强受理和反馈的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rPr>
          <w:rFonts w:hint="eastAsia" w:ascii="微软雅黑" w:hAnsi="微软雅黑" w:eastAsia="微软雅黑" w:cs="宋体"/>
          <w:color w:val="555555"/>
          <w:kern w:val="0"/>
          <w:sz w:val="23"/>
          <w:szCs w:val="23"/>
        </w:rPr>
      </w:pPr>
      <w:r>
        <w:rPr>
          <w:rFonts w:hint="eastAsia" w:ascii="黑体" w:hAnsi="黑体" w:eastAsia="黑体" w:cs="宋体"/>
          <w:color w:val="555555"/>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left"/>
        <w:rPr>
          <w:rFonts w:hint="eastAsia" w:ascii="仿宋_GB2312" w:hAnsi="微软雅黑" w:eastAsia="仿宋_GB2312" w:cs="宋体"/>
          <w:color w:val="555555"/>
          <w:kern w:val="0"/>
          <w:sz w:val="32"/>
          <w:szCs w:val="32"/>
          <w:lang w:val="en-US" w:eastAsia="zh-CN"/>
        </w:rPr>
      </w:pPr>
      <w:r>
        <w:rPr>
          <w:rFonts w:hint="eastAsia" w:ascii="仿宋_GB2312" w:hAnsi="微软雅黑" w:eastAsia="仿宋_GB2312" w:cs="宋体"/>
          <w:color w:val="555555"/>
          <w:kern w:val="0"/>
          <w:sz w:val="32"/>
          <w:szCs w:val="32"/>
        </w:rPr>
        <w:t>截至目前，本机关未收取信息处理费</w:t>
      </w:r>
      <w:r>
        <w:rPr>
          <w:rFonts w:hint="eastAsia" w:ascii="仿宋_GB2312" w:hAnsi="微软雅黑" w:eastAsia="仿宋_GB2312" w:cs="宋体"/>
          <w:color w:val="555555"/>
          <w:kern w:val="0"/>
          <w:sz w:val="32"/>
          <w:szCs w:val="32"/>
          <w:lang w:eastAsia="zh-CN"/>
        </w:rPr>
        <w:t>。</w:t>
      </w:r>
    </w:p>
    <w:p/>
    <w:sectPr>
      <w:footerReference r:id="rId3" w:type="default"/>
      <w:pgSz w:w="11906" w:h="16838"/>
      <w:pgMar w:top="2098" w:right="1587" w:bottom="1701"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A4MjkyNDIzMTdiNDUwZTgxMWQzYWYzMjZjNWNhNmIifQ=="/>
  </w:docVars>
  <w:rsids>
    <w:rsidRoot w:val="004F20C5"/>
    <w:rsid w:val="00312A46"/>
    <w:rsid w:val="003259FB"/>
    <w:rsid w:val="004F20C5"/>
    <w:rsid w:val="00525CAA"/>
    <w:rsid w:val="005B3ACE"/>
    <w:rsid w:val="005E16FD"/>
    <w:rsid w:val="008822DB"/>
    <w:rsid w:val="008C1D59"/>
    <w:rsid w:val="009777D4"/>
    <w:rsid w:val="0B250D01"/>
    <w:rsid w:val="0C414972"/>
    <w:rsid w:val="0DF049CF"/>
    <w:rsid w:val="111E3F59"/>
    <w:rsid w:val="137D5290"/>
    <w:rsid w:val="25710085"/>
    <w:rsid w:val="2BCD6E5C"/>
    <w:rsid w:val="2C962195"/>
    <w:rsid w:val="318F6462"/>
    <w:rsid w:val="35802C39"/>
    <w:rsid w:val="4C922EBE"/>
    <w:rsid w:val="4D1C5D43"/>
    <w:rsid w:val="530F6FAB"/>
    <w:rsid w:val="6098352E"/>
    <w:rsid w:val="6C9B2679"/>
    <w:rsid w:val="6EE92007"/>
    <w:rsid w:val="71DE242B"/>
    <w:rsid w:val="75096F5F"/>
    <w:rsid w:val="755539A3"/>
    <w:rsid w:val="766E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1792</Words>
  <Characters>1834</Characters>
  <Lines>15</Lines>
  <Paragraphs>4</Paragraphs>
  <TotalTime>4</TotalTime>
  <ScaleCrop>false</ScaleCrop>
  <LinksUpToDate>false</LinksUpToDate>
  <CharactersWithSpaces>1942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2020-01-17T10:03:00Z</dcterms:created>
  <dc:creator>Sky123.Org</dc:creator>
  <cp:lastModifiedBy>要开心</cp:lastModifiedBy>
  <dcterms:modified xsi:type="dcterms:W3CDTF">2023-01-18T09:44:50Z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D88CE868B554411BB7D22BA38F47FF17</vt:lpwstr>
  </property>
</Properties>
</file>