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八卦洲街道</w:t>
      </w:r>
      <w:r>
        <w:rPr>
          <w:rFonts w:hint="eastAsia" w:ascii="方正小标宋简体" w:hAnsi="方正小标宋简体" w:eastAsia="方正小标宋简体" w:cs="方正小标宋简体"/>
          <w:sz w:val="44"/>
          <w:szCs w:val="44"/>
        </w:rPr>
        <w:t>政府信息公开工作年度报告</w:t>
      </w:r>
    </w:p>
    <w:p>
      <w:pPr>
        <w:widowControl w:val="0"/>
        <w:numPr>
          <w:ilvl w:val="0"/>
          <w:numId w:val="1"/>
        </w:numPr>
        <w:kinsoku/>
        <w:autoSpaceDE/>
        <w:autoSpaceDN/>
        <w:adjustRightInd/>
        <w:snapToGrid/>
        <w:spacing w:line="560" w:lineRule="exact"/>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r>
        <w:rPr>
          <w:rFonts w:hint="eastAsia" w:ascii="方正小标宋简体" w:hAnsi="方正小标宋简体" w:eastAsia="方正小标宋简体" w:cs="方正小标宋简体"/>
          <w:b w:val="0"/>
          <w:bCs/>
          <w:snapToGrid/>
          <w:kern w:val="2"/>
          <w:sz w:val="30"/>
          <w:szCs w:val="30"/>
          <w:lang w:val="en-US" w:eastAsia="zh-CN" w:bidi="ar-SA"/>
        </w:rPr>
        <w:t>总体情况</w:t>
      </w:r>
    </w:p>
    <w:p>
      <w:pPr>
        <w:widowControl w:val="0"/>
        <w:numPr>
          <w:ilvl w:val="0"/>
          <w:numId w:val="0"/>
        </w:numPr>
        <w:kinsoku/>
        <w:autoSpaceDE/>
        <w:autoSpaceDN/>
        <w:adjustRightInd/>
        <w:snapToGrid/>
        <w:spacing w:line="560" w:lineRule="exact"/>
        <w:ind w:firstLine="600" w:firstLineChars="200"/>
        <w:jc w:val="both"/>
        <w:textAlignment w:val="auto"/>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2022年八卦洲街道认真贯彻落实上级部门推行政府信息公开的各项工作部署，坚持把推行政务公开作为为民服务的核心工作，保障群众的知情权、参与权和监督权。截至2022年底，八卦洲街道政府信息公开工作运行正常，政府信息公开咨询、申请以及答复工作均得到了顺利开展。具体做法如下：</w:t>
      </w:r>
    </w:p>
    <w:p>
      <w:pPr>
        <w:widowControl w:val="0"/>
        <w:numPr>
          <w:ilvl w:val="0"/>
          <w:numId w:val="2"/>
        </w:numPr>
        <w:kinsoku/>
        <w:autoSpaceDE/>
        <w:autoSpaceDN/>
        <w:adjustRightInd/>
        <w:snapToGrid/>
        <w:spacing w:line="560" w:lineRule="exact"/>
        <w:ind w:firstLine="600" w:firstLineChars="200"/>
        <w:jc w:val="both"/>
        <w:textAlignment w:val="auto"/>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强化组织，合理分工，落实常态化管理。我街道政府信息公开工作，由街道工委专职副书记分管，街道党政综合部具体负责，配备一名兼职人员，各村居配备一名兼职人员。按照年初发布的《八卦洲街道2022年村居信息公开工作考评实施细则》每月对村居进行考核打分，包含信息总量、信息实效、信息保密等五个项目。党政综合部定期开展相关工作宣传培训工作，总结重点工作，汇总形成文字材料进行政府信息公开。接到了区政府关于全面推进基层政务公开标准化规范化工作实施方案的通知，后按照模板梳理出少量权责清单和公共服务清单，在2023年继续配合区政府办和相关部门做好基层政务公开标准化的推进工作。截止2022年底累计主动公开政府信息331条，全文电子化率达100%，此外，本年度街道坚持利用政务新媒体发布相关信息并做好后台的回复工作。</w:t>
      </w:r>
    </w:p>
    <w:p>
      <w:pPr>
        <w:widowControl w:val="0"/>
        <w:numPr>
          <w:ilvl w:val="0"/>
          <w:numId w:val="2"/>
        </w:numPr>
        <w:kinsoku/>
        <w:autoSpaceDE/>
        <w:autoSpaceDN/>
        <w:adjustRightInd/>
        <w:snapToGrid/>
        <w:spacing w:line="560" w:lineRule="exact"/>
        <w:ind w:left="0" w:leftChars="0" w:firstLine="600" w:firstLineChars="200"/>
        <w:jc w:val="both"/>
        <w:textAlignment w:val="auto"/>
        <w:rPr>
          <w:rFonts w:hint="eastAsia" w:ascii="仿宋" w:hAnsi="仿宋" w:eastAsia="仿宋" w:cs="仿宋"/>
          <w:snapToGrid/>
          <w:color w:val="000000"/>
          <w:kern w:val="0"/>
          <w:sz w:val="30"/>
          <w:szCs w:val="30"/>
          <w:lang w:val="en-US" w:eastAsia="zh-CN" w:bidi="ar"/>
        </w:rPr>
      </w:pPr>
      <w:r>
        <w:rPr>
          <w:rFonts w:hint="eastAsia" w:ascii="仿宋" w:hAnsi="仿宋" w:eastAsia="仿宋" w:cs="仿宋"/>
          <w:snapToGrid/>
          <w:color w:val="000000"/>
          <w:kern w:val="0"/>
          <w:sz w:val="30"/>
          <w:szCs w:val="30"/>
          <w:lang w:val="en-US" w:eastAsia="zh-CN" w:bidi="ar"/>
        </w:rPr>
        <w:t>提升信息公开质量。坚持以公开为常态、不公开为例外，遵循公正、公平、合法、便民的原则，全面及时公开经济发展、城市建管、安全生产、社会民生等各领域社会广泛关注的重点事项。我街道坚持通过区政府网站、微博、微信订阅号和村居宣传栏（屏）等多种方式公开信息。</w:t>
      </w:r>
    </w:p>
    <w:p>
      <w:pPr>
        <w:widowControl w:val="0"/>
        <w:numPr>
          <w:ilvl w:val="0"/>
          <w:numId w:val="2"/>
        </w:numPr>
        <w:kinsoku/>
        <w:autoSpaceDE/>
        <w:autoSpaceDN/>
        <w:adjustRightInd/>
        <w:snapToGrid/>
        <w:spacing w:line="560" w:lineRule="exact"/>
        <w:ind w:left="0" w:leftChars="0" w:firstLine="600" w:firstLineChars="200"/>
        <w:jc w:val="both"/>
        <w:textAlignment w:val="auto"/>
        <w:rPr>
          <w:rFonts w:hint="eastAsia" w:ascii="方正小标宋简体" w:hAnsi="方正小标宋简体" w:eastAsia="方正小标宋简体" w:cs="方正小标宋简体"/>
          <w:b w:val="0"/>
          <w:bCs/>
          <w:sz w:val="30"/>
          <w:szCs w:val="30"/>
        </w:rPr>
      </w:pPr>
      <w:r>
        <w:rPr>
          <w:rFonts w:hint="eastAsia" w:ascii="仿宋" w:hAnsi="仿宋" w:eastAsia="仿宋" w:cs="仿宋"/>
          <w:snapToGrid/>
          <w:color w:val="000000"/>
          <w:kern w:val="0"/>
          <w:sz w:val="30"/>
          <w:szCs w:val="30"/>
          <w:lang w:val="en-US" w:eastAsia="zh-CN" w:bidi="ar"/>
        </w:rPr>
        <w:t>拓展载体建设，加大便民服务力度。进一步加大了对街道在微博、微信等第三方平台上开设的政务账号或应用（含小程序）的管理力度，严格要求负责科室对于市、区一级的不定期检查并及时通知相关部门进行整改，提供整改情况说明；同时坚持做到及时回复，在区政府办发布的栖霞区政务新媒体（微信）互动回应情况统计表中汇总每日情况。我街道党政综合部协同宣传部门通过八卦洲街道微信订阅号“江润八卦洲”和官方微博“魅力八卦洲”推送相关信息，保证原创更新的同时，坚持严格落实三级审核机制；结合上级不定期的抽查报告，做好对已发布信息的整改；定期总结相关工作不足之处，形成文字材料汇报区政府办。同时注重互动回应工作，确保信息公开工作结合互联网，融入居民的日常生活，真正做到方便群众，政府信息透明和公开。</w:t>
      </w:r>
    </w:p>
    <w:p>
      <w:pPr>
        <w:widowControl w:val="0"/>
        <w:numPr>
          <w:ilvl w:val="0"/>
          <w:numId w:val="0"/>
        </w:numPr>
        <w:kinsoku/>
        <w:autoSpaceDE/>
        <w:autoSpaceDN/>
        <w:adjustRightInd/>
        <w:snapToGrid/>
        <w:spacing w:line="560" w:lineRule="exact"/>
        <w:ind w:leftChars="200"/>
        <w:jc w:val="both"/>
        <w:textAlignment w:val="auto"/>
        <w:rPr>
          <w:rFonts w:hint="eastAsia" w:ascii="方正小标宋简体" w:hAnsi="方正小标宋简体" w:eastAsia="方正小标宋简体" w:cs="方正小标宋简体"/>
          <w:b w:val="0"/>
          <w:bCs/>
          <w:sz w:val="30"/>
          <w:szCs w:val="30"/>
        </w:rPr>
      </w:pPr>
      <w:r>
        <w:rPr>
          <w:rFonts w:hint="eastAsia" w:ascii="方正小标宋简体" w:hAnsi="方正小标宋简体" w:eastAsia="方正小标宋简体" w:cs="方正小标宋简体"/>
          <w:b w:val="0"/>
          <w:bCs/>
          <w:snapToGrid/>
          <w:kern w:val="2"/>
          <w:sz w:val="30"/>
          <w:szCs w:val="30"/>
          <w:lang w:val="en-US" w:eastAsia="zh-CN" w:bidi="ar-SA"/>
        </w:rPr>
        <w:t>二、主动公开政府信息情况</w:t>
      </w:r>
    </w:p>
    <w:tbl>
      <w:tblPr>
        <w:tblStyle w:val="6"/>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8"/>
                <w:szCs w:val="30"/>
                <w:lang w:eastAsia="zh-CN"/>
              </w:rPr>
            </w:pPr>
            <w:r>
              <w:rPr>
                <w:rFonts w:hint="eastAsia" w:ascii="宋体" w:hAnsi="宋体" w:cs="宋体"/>
                <w:color w:val="000000"/>
                <w:kern w:val="0"/>
                <w:sz w:val="28"/>
                <w:szCs w:val="30"/>
              </w:rPr>
              <w:t>第二十条第（一）项</w:t>
            </w:r>
            <w:bookmarkStart w:id="0" w:name="_GoBack"/>
            <w:bookmarkEnd w:id="0"/>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本年</w:t>
            </w:r>
            <w:r>
              <w:rPr>
                <w:rFonts w:ascii="宋体" w:hAnsi="宋体" w:cs="Calibri"/>
                <w:kern w:val="0"/>
                <w:sz w:val="28"/>
                <w:szCs w:val="30"/>
              </w:rPr>
              <w:t>制</w:t>
            </w:r>
            <w:r>
              <w:rPr>
                <w:rFonts w:hint="eastAsia" w:ascii="宋体" w:hAnsi="宋体" w:cs="宋体"/>
                <w:kern w:val="0"/>
                <w:sz w:val="28"/>
                <w:szCs w:val="30"/>
              </w:rPr>
              <w:t>发件</w:t>
            </w:r>
            <w:r>
              <w:rPr>
                <w:rFonts w:ascii="宋体" w:hAnsi="宋体" w:cs="Calibri"/>
                <w:kern w:val="0"/>
                <w:sz w:val="28"/>
                <w:szCs w:val="30"/>
              </w:rPr>
              <w:t>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现行有效件</w:t>
            </w:r>
            <w:r>
              <w:rPr>
                <w:rFonts w:ascii="宋体" w:hAnsi="宋体" w:cs="Calibri"/>
                <w:kern w:val="0"/>
                <w:sz w:val="28"/>
                <w:szCs w:val="30"/>
              </w:rPr>
              <w:t>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kern w:val="0"/>
                <w:sz w:val="28"/>
                <w:szCs w:val="30"/>
                <w:lang w:val="en-US" w:eastAsia="zh-CN"/>
              </w:rPr>
            </w:pPr>
            <w:r>
              <w:rPr>
                <w:rFonts w:hint="eastAsia" w:ascii="宋体" w:hAnsi="宋体" w:cs="Calibri"/>
                <w:kern w:val="0"/>
                <w:sz w:val="24"/>
                <w:szCs w:val="24"/>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Calibri"/>
                <w:kern w:val="0"/>
                <w:sz w:val="24"/>
                <w:szCs w:val="24"/>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Calibri"/>
                <w:kern w:val="0"/>
                <w:sz w:val="24"/>
                <w:szCs w:val="24"/>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Calibri"/>
                <w:kern w:val="0"/>
                <w:sz w:val="24"/>
                <w:szCs w:val="24"/>
                <w:lang w:val="en-US" w:eastAsia="zh-CN"/>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宋体"/>
                <w:color w:val="000000"/>
                <w:kern w:val="0"/>
                <w:sz w:val="28"/>
                <w:szCs w:val="30"/>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8"/>
                <w:szCs w:val="30"/>
              </w:rPr>
            </w:pPr>
            <w:r>
              <w:rPr>
                <w:rFonts w:hint="eastAsia" w:ascii="宋体" w:hAnsi="宋体" w:cs="Calibri"/>
                <w:kern w:val="0"/>
                <w:sz w:val="24"/>
                <w:szCs w:val="24"/>
                <w:lang w:val="en-US" w:eastAsia="zh-CN"/>
              </w:rPr>
              <w:t>0</w:t>
            </w:r>
          </w:p>
        </w:tc>
      </w:tr>
    </w:tbl>
    <w:p>
      <w:pPr>
        <w:widowControl w:val="0"/>
        <w:numPr>
          <w:ilvl w:val="0"/>
          <w:numId w:val="1"/>
        </w:numPr>
        <w:kinsoku/>
        <w:autoSpaceDE/>
        <w:autoSpaceDN/>
        <w:adjustRightInd/>
        <w:snapToGrid/>
        <w:spacing w:line="560" w:lineRule="exact"/>
        <w:ind w:left="0" w:leftChars="0" w:firstLine="0" w:firstLineChars="0"/>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r>
        <w:rPr>
          <w:rFonts w:hint="eastAsia" w:ascii="方正小标宋简体" w:hAnsi="方正小标宋简体" w:eastAsia="方正小标宋简体" w:cs="方正小标宋简体"/>
          <w:b w:val="0"/>
          <w:bCs/>
          <w:snapToGrid/>
          <w:kern w:val="2"/>
          <w:sz w:val="30"/>
          <w:szCs w:val="30"/>
          <w:lang w:val="en-US" w:eastAsia="zh-CN" w:bidi="ar-SA"/>
        </w:rPr>
        <w:t>收到和处理政府信息公开申请情况</w:t>
      </w:r>
    </w:p>
    <w:p>
      <w:pPr>
        <w:spacing w:line="68" w:lineRule="exact"/>
      </w:pPr>
    </w:p>
    <w:tbl>
      <w:tblPr>
        <w:tblStyle w:val="6"/>
        <w:tblW w:w="9748" w:type="dxa"/>
        <w:jc w:val="center"/>
        <w:tblLayout w:type="autofit"/>
        <w:tblCellMar>
          <w:top w:w="0" w:type="dxa"/>
          <w:left w:w="0" w:type="dxa"/>
          <w:bottom w:w="0" w:type="dxa"/>
          <w:right w:w="0" w:type="dxa"/>
        </w:tblCellMar>
      </w:tblPr>
      <w:tblGrid>
        <w:gridCol w:w="778"/>
        <w:gridCol w:w="1014"/>
        <w:gridCol w:w="3154"/>
        <w:gridCol w:w="686"/>
        <w:gridCol w:w="686"/>
        <w:gridCol w:w="686"/>
        <w:gridCol w:w="686"/>
        <w:gridCol w:w="686"/>
        <w:gridCol w:w="686"/>
        <w:gridCol w:w="686"/>
      </w:tblGrid>
      <w:tr>
        <w:tblPrEx>
          <w:tblCellMar>
            <w:top w:w="0" w:type="dxa"/>
            <w:left w:w="0" w:type="dxa"/>
            <w:bottom w:w="0" w:type="dxa"/>
            <w:right w:w="0" w:type="dxa"/>
          </w:tblCellMar>
        </w:tblPrEx>
        <w:trPr>
          <w:jc w:val="center"/>
        </w:trPr>
        <w:tc>
          <w:tcPr>
            <w:tcW w:w="4946" w:type="dxa"/>
            <w:gridSpan w:val="3"/>
            <w:vMerge w:val="restart"/>
            <w:tcBorders>
              <w:top w:val="single" w:color="auto" w:sz="8" w:space="0"/>
              <w:left w:val="single" w:color="auto" w:sz="8" w:space="0"/>
              <w:bottom w:val="inset" w:color="auto" w:sz="8" w:space="0"/>
              <w:right w:val="single" w:color="auto" w:sz="8" w:space="0"/>
            </w:tcBorders>
            <w:noWrap w:val="0"/>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楷体" w:hAnsi="楷体" w:eastAsia="楷体" w:cs="宋体"/>
                <w:kern w:val="0"/>
                <w:sz w:val="24"/>
              </w:rPr>
              <w:t>（本列数据的勾稽关系为：第一项加第二项之和，等于第三项加第四项之和）</w:t>
            </w:r>
          </w:p>
        </w:tc>
        <w:tc>
          <w:tcPr>
            <w:tcW w:w="4802" w:type="dxa"/>
            <w:gridSpan w:val="7"/>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申请人情况</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686" w:type="dxa"/>
            <w:vMerge w:val="restart"/>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自然人</w:t>
            </w:r>
          </w:p>
        </w:tc>
        <w:tc>
          <w:tcPr>
            <w:tcW w:w="3430" w:type="dxa"/>
            <w:gridSpan w:val="5"/>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法人或其他组织</w:t>
            </w:r>
          </w:p>
        </w:tc>
        <w:tc>
          <w:tcPr>
            <w:tcW w:w="686" w:type="dxa"/>
            <w:vMerge w:val="restart"/>
            <w:tcBorders>
              <w:top w:val="single" w:color="auto" w:sz="8" w:space="0"/>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总计</w:t>
            </w:r>
          </w:p>
        </w:tc>
      </w:tr>
      <w:tr>
        <w:tblPrEx>
          <w:tblCellMar>
            <w:top w:w="0" w:type="dxa"/>
            <w:left w:w="0" w:type="dxa"/>
            <w:bottom w:w="0" w:type="dxa"/>
            <w:right w:w="0" w:type="dxa"/>
          </w:tblCellMar>
        </w:tblPrEx>
        <w:trPr>
          <w:jc w:val="center"/>
        </w:trPr>
        <w:tc>
          <w:tcPr>
            <w:tcW w:w="0" w:type="auto"/>
            <w:gridSpan w:val="3"/>
            <w:vMerge w:val="continue"/>
            <w:tcBorders>
              <w:top w:val="single" w:color="auto" w:sz="8" w:space="0"/>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商业</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企业</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科研</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机构</w:t>
            </w:r>
          </w:p>
        </w:tc>
        <w:tc>
          <w:tcPr>
            <w:tcW w:w="686"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社会公益组织</w:t>
            </w:r>
          </w:p>
        </w:tc>
        <w:tc>
          <w:tcPr>
            <w:tcW w:w="686"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法律服务机构</w:t>
            </w:r>
          </w:p>
        </w:tc>
        <w:tc>
          <w:tcPr>
            <w:tcW w:w="686"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rPr>
            </w:pPr>
            <w:r>
              <w:rPr>
                <w:rFonts w:hint="eastAsia" w:ascii="宋体" w:hAnsi="宋体" w:cs="宋体"/>
                <w:kern w:val="0"/>
                <w:sz w:val="24"/>
              </w:rPr>
              <w:t>其他</w:t>
            </w:r>
          </w:p>
        </w:tc>
        <w:tc>
          <w:tcPr>
            <w:tcW w:w="0" w:type="auto"/>
            <w:vMerge w:val="continue"/>
            <w:tcBorders>
              <w:top w:val="single" w:color="auto" w:sz="8" w:space="0"/>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r>
      <w:tr>
        <w:tblPrEx>
          <w:tblCellMar>
            <w:top w:w="0" w:type="dxa"/>
            <w:left w:w="0" w:type="dxa"/>
            <w:bottom w:w="0" w:type="dxa"/>
            <w:right w:w="0" w:type="dxa"/>
          </w:tblCellMar>
        </w:tblPrEx>
        <w:trPr>
          <w:jc w:val="center"/>
        </w:trPr>
        <w:tc>
          <w:tcPr>
            <w:tcW w:w="4946"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一、本年新收政府信息公开申请数量</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4946"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二、上年结转政府信息公开申请数量</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778" w:type="dxa"/>
            <w:vMerge w:val="restart"/>
            <w:tcBorders>
              <w:top w:val="nil"/>
              <w:left w:val="single" w:color="auto" w:sz="8" w:space="0"/>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三、本年度办理结果</w:t>
            </w:r>
          </w:p>
        </w:tc>
        <w:tc>
          <w:tcPr>
            <w:tcW w:w="416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（一）予以公开</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416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（二）部分公开</w:t>
            </w:r>
            <w:r>
              <w:rPr>
                <w:rFonts w:hint="eastAsia" w:ascii="楷体" w:hAnsi="楷体" w:eastAsia="楷体" w:cs="宋体"/>
                <w:kern w:val="0"/>
                <w:sz w:val="24"/>
              </w:rPr>
              <w:t>（区分处理的，只计这一情形，不计其他情形）</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1014"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（三）不予公开</w:t>
            </w: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1.属于国家秘密</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2.其他法律行政法规禁止公开</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3.危及“三安全一稳定”</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4.保护第三方合法权益</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5.属于三类内部事务信息</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6.属于四类过程性信息</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7.属于行政执法案卷</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8.属于行政查询事项</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1014"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（四）无法提供</w:t>
            </w: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1.本机关不掌握相关政府信息</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2.没有现成信息需要另行制作</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3.补正后申请内容仍不明确</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1014" w:type="dxa"/>
            <w:vMerge w:val="restart"/>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（五）不予处理</w:t>
            </w: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1.信访举报投诉类申请</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2.重复申请</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3.要求提供公开出版物</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top"/>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4.无正当理由大量反复申请</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nil"/>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cs="宋体"/>
                <w:kern w:val="0"/>
                <w:sz w:val="24"/>
              </w:rPr>
            </w:pPr>
            <w:r>
              <w:rPr>
                <w:rFonts w:hint="eastAsia" w:ascii="宋体" w:hAnsi="宋体" w:cs="宋体"/>
                <w:kern w:val="0"/>
                <w:sz w:val="24"/>
              </w:rPr>
              <w:t>5.要求行政机关确认或重新出具已获取信息</w:t>
            </w:r>
          </w:p>
        </w:tc>
        <w:tc>
          <w:tcPr>
            <w:tcW w:w="686"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1014" w:type="dxa"/>
            <w:vMerge w:val="restart"/>
            <w:tcBorders>
              <w:top w:val="inset" w:color="auto" w:sz="8" w:space="0"/>
              <w:left w:val="nil"/>
              <w:bottom w:val="inset"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（六）其他处理</w:t>
            </w: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cs="宋体"/>
                <w:kern w:val="0"/>
                <w:sz w:val="24"/>
              </w:rPr>
            </w:pPr>
            <w:r>
              <w:rPr>
                <w:rFonts w:hint="eastAsia" w:ascii="宋体" w:hAnsi="宋体" w:cs="宋体"/>
                <w:kern w:val="0"/>
                <w:sz w:val="24"/>
              </w:rPr>
              <w:t>1.申请人无正当理由逾期不补正、行政机关不再处理其政府信息公开申请</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inset" w:color="auto" w:sz="8" w:space="0"/>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textAlignment w:val="auto"/>
              <w:rPr>
                <w:rFonts w:ascii="宋体" w:hAnsi="宋体" w:cs="宋体"/>
                <w:kern w:val="0"/>
                <w:sz w:val="24"/>
              </w:rPr>
            </w:pPr>
            <w:r>
              <w:rPr>
                <w:rFonts w:hint="eastAsia" w:ascii="宋体" w:hAnsi="宋体" w:cs="宋体"/>
                <w:kern w:val="0"/>
                <w:sz w:val="24"/>
              </w:rPr>
              <w:t>2.申请人逾期未按收费通知要求缴纳费用、行政机关不再处理其政府信息公开申请</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0" w:type="auto"/>
            <w:vMerge w:val="continue"/>
            <w:tcBorders>
              <w:top w:val="inset" w:color="auto" w:sz="8" w:space="0"/>
              <w:left w:val="nil"/>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3154"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3.其他</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p>
        </w:tc>
        <w:tc>
          <w:tcPr>
            <w:tcW w:w="4168" w:type="dxa"/>
            <w:gridSpan w:val="2"/>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（七）总计</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r>
        <w:tblPrEx>
          <w:tblCellMar>
            <w:top w:w="0" w:type="dxa"/>
            <w:left w:w="0" w:type="dxa"/>
            <w:bottom w:w="0" w:type="dxa"/>
            <w:right w:w="0" w:type="dxa"/>
          </w:tblCellMar>
        </w:tblPrEx>
        <w:trPr>
          <w:jc w:val="center"/>
        </w:trPr>
        <w:tc>
          <w:tcPr>
            <w:tcW w:w="4946" w:type="dxa"/>
            <w:gridSpan w:val="3"/>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cs="宋体"/>
                <w:kern w:val="0"/>
                <w:sz w:val="24"/>
              </w:rPr>
            </w:pPr>
            <w:r>
              <w:rPr>
                <w:rFonts w:hint="eastAsia" w:ascii="宋体" w:hAnsi="宋体" w:cs="宋体"/>
                <w:kern w:val="0"/>
                <w:sz w:val="24"/>
              </w:rPr>
              <w:t>四、结转下年度继续办理</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c>
          <w:tcPr>
            <w:tcW w:w="686"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宋体" w:hAnsi="宋体" w:cs="宋体"/>
                <w:kern w:val="0"/>
                <w:sz w:val="24"/>
                <w:szCs w:val="24"/>
              </w:rPr>
            </w:pPr>
            <w:r>
              <w:rPr>
                <w:rFonts w:hint="eastAsia" w:ascii="宋体" w:hAnsi="宋体" w:cs="Calibri"/>
                <w:kern w:val="0"/>
                <w:sz w:val="24"/>
                <w:szCs w:val="24"/>
                <w:lang w:val="en-US" w:eastAsia="zh-CN"/>
              </w:rPr>
              <w:t>0</w:t>
            </w:r>
          </w:p>
        </w:tc>
      </w:tr>
    </w:tbl>
    <w:p>
      <w:pPr>
        <w:widowControl w:val="0"/>
        <w:numPr>
          <w:ilvl w:val="0"/>
          <w:numId w:val="0"/>
        </w:numPr>
        <w:kinsoku/>
        <w:autoSpaceDE/>
        <w:autoSpaceDN/>
        <w:adjustRightInd/>
        <w:snapToGrid/>
        <w:spacing w:line="560" w:lineRule="exact"/>
        <w:ind w:firstLine="600" w:firstLineChars="200"/>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p>
    <w:p>
      <w:pPr>
        <w:widowControl w:val="0"/>
        <w:numPr>
          <w:ilvl w:val="0"/>
          <w:numId w:val="0"/>
        </w:numPr>
        <w:kinsoku/>
        <w:autoSpaceDE/>
        <w:autoSpaceDN/>
        <w:adjustRightInd/>
        <w:snapToGrid/>
        <w:spacing w:line="560" w:lineRule="exact"/>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p>
    <w:p>
      <w:pPr>
        <w:widowControl w:val="0"/>
        <w:numPr>
          <w:ilvl w:val="0"/>
          <w:numId w:val="0"/>
        </w:numPr>
        <w:kinsoku/>
        <w:autoSpaceDE/>
        <w:autoSpaceDN/>
        <w:adjustRightInd/>
        <w:snapToGrid/>
        <w:spacing w:line="560" w:lineRule="exact"/>
        <w:ind w:firstLine="600" w:firstLineChars="200"/>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r>
        <w:rPr>
          <w:rFonts w:hint="eastAsia" w:ascii="方正小标宋简体" w:hAnsi="方正小标宋简体" w:eastAsia="方正小标宋简体" w:cs="方正小标宋简体"/>
          <w:b w:val="0"/>
          <w:bCs/>
          <w:snapToGrid/>
          <w:kern w:val="2"/>
          <w:sz w:val="30"/>
          <w:szCs w:val="30"/>
          <w:lang w:val="en-US" w:eastAsia="zh-CN" w:bidi="ar-SA"/>
        </w:rPr>
        <w:t>四、政府信息公开行政复议、行政诉讼情况</w:t>
      </w:r>
    </w:p>
    <w:p>
      <w:pPr>
        <w:spacing w:line="68" w:lineRule="exact"/>
      </w:pPr>
    </w:p>
    <w:tbl>
      <w:tblPr>
        <w:tblStyle w:val="8"/>
        <w:tblW w:w="9755"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60"/>
        <w:gridCol w:w="649"/>
        <w:gridCol w:w="647"/>
        <w:gridCol w:w="650"/>
        <w:gridCol w:w="649"/>
        <w:gridCol w:w="649"/>
        <w:gridCol w:w="648"/>
        <w:gridCol w:w="650"/>
        <w:gridCol w:w="649"/>
        <w:gridCol w:w="647"/>
        <w:gridCol w:w="650"/>
        <w:gridCol w:w="649"/>
        <w:gridCol w:w="649"/>
        <w:gridCol w:w="650"/>
        <w:gridCol w:w="6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5" w:hRule="atLeast"/>
        </w:trPr>
        <w:tc>
          <w:tcPr>
            <w:tcW w:w="3255" w:type="dxa"/>
            <w:gridSpan w:val="5"/>
            <w:vAlign w:val="top"/>
          </w:tcPr>
          <w:p>
            <w:pPr>
              <w:spacing w:before="248" w:line="185" w:lineRule="auto"/>
              <w:ind w:left="-619" w:leftChars="-295" w:firstLine="1772" w:firstLineChars="0"/>
              <w:rPr>
                <w:rFonts w:ascii="宋体" w:hAnsi="宋体" w:eastAsia="宋体" w:cs="宋体"/>
                <w:sz w:val="24"/>
                <w:szCs w:val="24"/>
              </w:rPr>
            </w:pPr>
            <w:r>
              <w:rPr>
                <w:rFonts w:ascii="宋体" w:hAnsi="宋体" w:eastAsia="宋体" w:cs="宋体"/>
                <w:spacing w:val="-3"/>
                <w:sz w:val="24"/>
                <w:szCs w:val="24"/>
              </w:rPr>
              <w:t>行政复议</w:t>
            </w:r>
          </w:p>
        </w:tc>
        <w:tc>
          <w:tcPr>
            <w:tcW w:w="6500" w:type="dxa"/>
            <w:gridSpan w:val="10"/>
            <w:vAlign w:val="top"/>
          </w:tcPr>
          <w:p>
            <w:pPr>
              <w:spacing w:before="248" w:line="185" w:lineRule="auto"/>
              <w:ind w:firstLine="2773"/>
              <w:rPr>
                <w:rFonts w:ascii="宋体" w:hAnsi="宋体" w:eastAsia="宋体" w:cs="宋体"/>
                <w:sz w:val="24"/>
                <w:szCs w:val="24"/>
              </w:rPr>
            </w:pPr>
            <w:r>
              <w:rPr>
                <w:rFonts w:ascii="宋体" w:hAnsi="宋体" w:eastAsia="宋体" w:cs="宋体"/>
                <w:spacing w:val="-3"/>
                <w:sz w:val="24"/>
                <w:szCs w:val="24"/>
              </w:rPr>
              <w:t>行政诉讼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1" w:hRule="atLeast"/>
        </w:trPr>
        <w:tc>
          <w:tcPr>
            <w:tcW w:w="660" w:type="dxa"/>
            <w:vMerge w:val="restart"/>
            <w:tcBorders>
              <w:bottom w:val="nil"/>
            </w:tcBorders>
            <w:textDirection w:val="tbRlV"/>
            <w:vAlign w:val="top"/>
          </w:tcPr>
          <w:p>
            <w:pPr>
              <w:spacing w:before="206" w:line="180" w:lineRule="auto"/>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vMerge w:val="restart"/>
            <w:tcBorders>
              <w:bottom w:val="nil"/>
            </w:tcBorders>
            <w:textDirection w:val="tbRlV"/>
            <w:vAlign w:val="top"/>
          </w:tcPr>
          <w:p>
            <w:pPr>
              <w:spacing w:before="207" w:line="180" w:lineRule="auto"/>
              <w:ind w:firstLine="528"/>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r>
              <w:rPr>
                <w:rFonts w:ascii="宋体" w:hAnsi="宋体" w:eastAsia="宋体" w:cs="宋体"/>
                <w:spacing w:val="40"/>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7" w:type="dxa"/>
            <w:vMerge w:val="restart"/>
            <w:tcBorders>
              <w:bottom w:val="nil"/>
            </w:tcBorders>
            <w:textDirection w:val="tbRlV"/>
            <w:vAlign w:val="top"/>
          </w:tcPr>
          <w:p>
            <w:pPr>
              <w:spacing w:before="203" w:line="180" w:lineRule="auto"/>
              <w:ind w:firstLine="528"/>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40"/>
                <w:sz w:val="24"/>
                <w:szCs w:val="24"/>
              </w:rPr>
              <w:t xml:space="preserve">  </w:t>
            </w:r>
            <w:r>
              <w:rPr>
                <w:rFonts w:ascii="宋体" w:hAnsi="宋体" w:eastAsia="宋体" w:cs="宋体"/>
                <w:sz w:val="24"/>
                <w:szCs w:val="24"/>
              </w:rPr>
              <w:t>他</w:t>
            </w:r>
            <w:r>
              <w:rPr>
                <w:rFonts w:ascii="宋体" w:hAnsi="宋体" w:eastAsia="宋体" w:cs="宋体"/>
                <w:spacing w:val="40"/>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vMerge w:val="restart"/>
            <w:tcBorders>
              <w:bottom w:val="nil"/>
            </w:tcBorders>
            <w:textDirection w:val="tbRlV"/>
            <w:vAlign w:val="top"/>
          </w:tcPr>
          <w:p>
            <w:pPr>
              <w:spacing w:before="202" w:line="180" w:lineRule="auto"/>
              <w:ind w:firstLine="528"/>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40"/>
                <w:sz w:val="24"/>
                <w:szCs w:val="24"/>
              </w:rPr>
              <w:t xml:space="preserve">  </w:t>
            </w:r>
            <w:r>
              <w:rPr>
                <w:rFonts w:ascii="宋体" w:hAnsi="宋体" w:eastAsia="宋体" w:cs="宋体"/>
                <w:sz w:val="24"/>
                <w:szCs w:val="24"/>
              </w:rPr>
              <w:t>未</w:t>
            </w:r>
            <w:r>
              <w:rPr>
                <w:rFonts w:ascii="宋体" w:hAnsi="宋体" w:eastAsia="宋体" w:cs="宋体"/>
                <w:spacing w:val="40"/>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9" w:type="dxa"/>
            <w:vMerge w:val="restart"/>
            <w:tcBorders>
              <w:bottom w:val="nil"/>
            </w:tcBorders>
            <w:textDirection w:val="tbRlV"/>
            <w:vAlign w:val="top"/>
          </w:tcPr>
          <w:p>
            <w:pPr>
              <w:spacing w:before="200" w:line="180" w:lineRule="auto"/>
              <w:ind w:firstLine="1089"/>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39"/>
                <w:sz w:val="24"/>
                <w:szCs w:val="24"/>
              </w:rPr>
              <w:t xml:space="preserve">  </w:t>
            </w:r>
            <w:r>
              <w:rPr>
                <w:rFonts w:ascii="宋体" w:hAnsi="宋体" w:eastAsia="宋体" w:cs="宋体"/>
                <w:sz w:val="24"/>
                <w:szCs w:val="24"/>
              </w:rPr>
              <w:t>计</w:t>
            </w:r>
          </w:p>
        </w:tc>
        <w:tc>
          <w:tcPr>
            <w:tcW w:w="3243" w:type="dxa"/>
            <w:gridSpan w:val="5"/>
            <w:vAlign w:val="top"/>
          </w:tcPr>
          <w:p>
            <w:pPr>
              <w:spacing w:before="237" w:line="185" w:lineRule="auto"/>
              <w:ind w:firstLine="665"/>
              <w:rPr>
                <w:rFonts w:ascii="宋体" w:hAnsi="宋体" w:eastAsia="宋体" w:cs="宋体"/>
                <w:sz w:val="24"/>
                <w:szCs w:val="24"/>
              </w:rPr>
            </w:pPr>
            <w:r>
              <w:rPr>
                <w:rFonts w:ascii="宋体" w:hAnsi="宋体" w:eastAsia="宋体" w:cs="宋体"/>
                <w:spacing w:val="-2"/>
                <w:sz w:val="24"/>
                <w:szCs w:val="24"/>
              </w:rPr>
              <w:t>未经复议直接起诉</w:t>
            </w:r>
          </w:p>
        </w:tc>
        <w:tc>
          <w:tcPr>
            <w:tcW w:w="3257" w:type="dxa"/>
            <w:gridSpan w:val="5"/>
            <w:vAlign w:val="top"/>
          </w:tcPr>
          <w:p>
            <w:pPr>
              <w:spacing w:before="237" w:line="185" w:lineRule="auto"/>
              <w:ind w:firstLine="1036"/>
              <w:rPr>
                <w:rFonts w:ascii="宋体" w:hAnsi="宋体" w:eastAsia="宋体" w:cs="宋体"/>
                <w:sz w:val="24"/>
                <w:szCs w:val="24"/>
              </w:rPr>
            </w:pPr>
            <w:r>
              <w:rPr>
                <w:rFonts w:ascii="宋体" w:hAnsi="宋体" w:eastAsia="宋体" w:cs="宋体"/>
                <w:spacing w:val="-3"/>
                <w:sz w:val="24"/>
                <w:szCs w:val="24"/>
              </w:rPr>
              <w:t>复议后起诉</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39" w:hRule="atLeast"/>
        </w:trPr>
        <w:tc>
          <w:tcPr>
            <w:tcW w:w="660" w:type="dxa"/>
            <w:vMerge w:val="continue"/>
            <w:tcBorders>
              <w:top w:val="nil"/>
            </w:tcBorders>
            <w:textDirection w:val="tbRlV"/>
            <w:vAlign w:val="top"/>
          </w:tcPr>
          <w:p>
            <w:pPr>
              <w:rPr>
                <w:rFonts w:ascii="宋体"/>
                <w:sz w:val="21"/>
              </w:rPr>
            </w:pPr>
          </w:p>
        </w:tc>
        <w:tc>
          <w:tcPr>
            <w:tcW w:w="649" w:type="dxa"/>
            <w:vMerge w:val="continue"/>
            <w:tcBorders>
              <w:top w:val="nil"/>
            </w:tcBorders>
            <w:textDirection w:val="tbRlV"/>
            <w:vAlign w:val="top"/>
          </w:tcPr>
          <w:p>
            <w:pPr>
              <w:rPr>
                <w:rFonts w:ascii="宋体"/>
                <w:sz w:val="21"/>
              </w:rPr>
            </w:pPr>
          </w:p>
        </w:tc>
        <w:tc>
          <w:tcPr>
            <w:tcW w:w="647" w:type="dxa"/>
            <w:vMerge w:val="continue"/>
            <w:tcBorders>
              <w:top w:val="nil"/>
            </w:tcBorders>
            <w:textDirection w:val="tbRlV"/>
            <w:vAlign w:val="top"/>
          </w:tcPr>
          <w:p>
            <w:pPr>
              <w:rPr>
                <w:rFonts w:ascii="宋体"/>
                <w:sz w:val="21"/>
              </w:rPr>
            </w:pPr>
          </w:p>
        </w:tc>
        <w:tc>
          <w:tcPr>
            <w:tcW w:w="650" w:type="dxa"/>
            <w:vMerge w:val="continue"/>
            <w:tcBorders>
              <w:top w:val="nil"/>
            </w:tcBorders>
            <w:textDirection w:val="tbRlV"/>
            <w:vAlign w:val="top"/>
          </w:tcPr>
          <w:p>
            <w:pPr>
              <w:rPr>
                <w:rFonts w:ascii="宋体"/>
                <w:sz w:val="21"/>
              </w:rPr>
            </w:pPr>
          </w:p>
        </w:tc>
        <w:tc>
          <w:tcPr>
            <w:tcW w:w="649" w:type="dxa"/>
            <w:vMerge w:val="continue"/>
            <w:tcBorders>
              <w:top w:val="nil"/>
            </w:tcBorders>
            <w:textDirection w:val="tbRlV"/>
            <w:vAlign w:val="top"/>
          </w:tcPr>
          <w:p>
            <w:pPr>
              <w:rPr>
                <w:rFonts w:ascii="宋体"/>
                <w:sz w:val="21"/>
              </w:rPr>
            </w:pPr>
          </w:p>
        </w:tc>
        <w:tc>
          <w:tcPr>
            <w:tcW w:w="649" w:type="dxa"/>
            <w:textDirection w:val="tbRlV"/>
            <w:vAlign w:val="top"/>
          </w:tcPr>
          <w:p>
            <w:pPr>
              <w:spacing w:before="200"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8" w:type="dxa"/>
            <w:textDirection w:val="tbRlV"/>
            <w:vAlign w:val="top"/>
          </w:tcPr>
          <w:p>
            <w:pPr>
              <w:spacing w:before="199"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50" w:type="dxa"/>
            <w:textDirection w:val="tbRlV"/>
            <w:vAlign w:val="top"/>
          </w:tcPr>
          <w:p>
            <w:pPr>
              <w:spacing w:before="198" w:line="180" w:lineRule="auto"/>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49" w:type="dxa"/>
            <w:textDirection w:val="tbRlV"/>
            <w:vAlign w:val="top"/>
          </w:tcPr>
          <w:p>
            <w:pPr>
              <w:spacing w:before="199" w:line="180" w:lineRule="auto"/>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47" w:type="dxa"/>
            <w:textDirection w:val="tbRlV"/>
            <w:vAlign w:val="top"/>
          </w:tcPr>
          <w:p>
            <w:pPr>
              <w:spacing w:before="196" w:line="180" w:lineRule="auto"/>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c>
          <w:tcPr>
            <w:tcW w:w="650" w:type="dxa"/>
            <w:textDirection w:val="tbRlV"/>
            <w:vAlign w:val="top"/>
          </w:tcPr>
          <w:p>
            <w:pPr>
              <w:spacing w:before="196"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维</w:t>
            </w:r>
            <w:r>
              <w:rPr>
                <w:rFonts w:ascii="宋体" w:hAnsi="宋体" w:eastAsia="宋体" w:cs="宋体"/>
                <w:spacing w:val="40"/>
                <w:sz w:val="24"/>
                <w:szCs w:val="24"/>
              </w:rPr>
              <w:t xml:space="preserve">  </w:t>
            </w:r>
            <w:r>
              <w:rPr>
                <w:rFonts w:ascii="宋体" w:hAnsi="宋体" w:eastAsia="宋体" w:cs="宋体"/>
                <w:sz w:val="24"/>
                <w:szCs w:val="24"/>
              </w:rPr>
              <w:t>持</w:t>
            </w:r>
          </w:p>
        </w:tc>
        <w:tc>
          <w:tcPr>
            <w:tcW w:w="649" w:type="dxa"/>
            <w:textDirection w:val="tbRlV"/>
            <w:vAlign w:val="top"/>
          </w:tcPr>
          <w:p>
            <w:pPr>
              <w:spacing w:before="194" w:line="180" w:lineRule="auto"/>
              <w:ind w:firstLine="242"/>
              <w:rPr>
                <w:rFonts w:ascii="宋体" w:hAnsi="宋体" w:eastAsia="宋体" w:cs="宋体"/>
                <w:sz w:val="24"/>
                <w:szCs w:val="24"/>
              </w:rPr>
            </w:pPr>
            <w:r>
              <w:rPr>
                <w:rFonts w:ascii="宋体" w:hAnsi="宋体" w:eastAsia="宋体" w:cs="宋体"/>
                <w:sz w:val="24"/>
                <w:szCs w:val="24"/>
              </w:rPr>
              <w:t>结</w:t>
            </w:r>
            <w:r>
              <w:rPr>
                <w:rFonts w:ascii="宋体" w:hAnsi="宋体" w:eastAsia="宋体" w:cs="宋体"/>
                <w:spacing w:val="39"/>
                <w:sz w:val="24"/>
                <w:szCs w:val="24"/>
              </w:rPr>
              <w:t xml:space="preserve">  </w:t>
            </w:r>
            <w:r>
              <w:rPr>
                <w:rFonts w:ascii="宋体" w:hAnsi="宋体" w:eastAsia="宋体" w:cs="宋体"/>
                <w:sz w:val="24"/>
                <w:szCs w:val="24"/>
              </w:rPr>
              <w:t>果</w:t>
            </w:r>
            <w:r>
              <w:rPr>
                <w:rFonts w:ascii="宋体" w:hAnsi="宋体" w:eastAsia="宋体" w:cs="宋体"/>
                <w:spacing w:val="41"/>
                <w:sz w:val="24"/>
                <w:szCs w:val="24"/>
              </w:rPr>
              <w:t xml:space="preserve">  </w:t>
            </w:r>
            <w:r>
              <w:rPr>
                <w:rFonts w:ascii="宋体" w:hAnsi="宋体" w:eastAsia="宋体" w:cs="宋体"/>
                <w:sz w:val="24"/>
                <w:szCs w:val="24"/>
              </w:rPr>
              <w:t>纠</w:t>
            </w:r>
            <w:r>
              <w:rPr>
                <w:rFonts w:ascii="宋体" w:hAnsi="宋体" w:eastAsia="宋体" w:cs="宋体"/>
                <w:spacing w:val="40"/>
                <w:sz w:val="24"/>
                <w:szCs w:val="24"/>
              </w:rPr>
              <w:t xml:space="preserve">  </w:t>
            </w:r>
            <w:r>
              <w:rPr>
                <w:rFonts w:ascii="宋体" w:hAnsi="宋体" w:eastAsia="宋体" w:cs="宋体"/>
                <w:sz w:val="24"/>
                <w:szCs w:val="24"/>
              </w:rPr>
              <w:t>正</w:t>
            </w:r>
          </w:p>
        </w:tc>
        <w:tc>
          <w:tcPr>
            <w:tcW w:w="649" w:type="dxa"/>
            <w:textDirection w:val="tbRlV"/>
            <w:vAlign w:val="top"/>
          </w:tcPr>
          <w:p>
            <w:pPr>
              <w:spacing w:before="192" w:line="180" w:lineRule="auto"/>
              <w:ind w:firstLine="242"/>
              <w:rPr>
                <w:rFonts w:ascii="宋体" w:hAnsi="宋体" w:eastAsia="宋体" w:cs="宋体"/>
                <w:sz w:val="24"/>
                <w:szCs w:val="24"/>
              </w:rPr>
            </w:pPr>
            <w:r>
              <w:rPr>
                <w:rFonts w:ascii="宋体" w:hAnsi="宋体" w:eastAsia="宋体" w:cs="宋体"/>
                <w:sz w:val="24"/>
                <w:szCs w:val="24"/>
              </w:rPr>
              <w:t>其</w:t>
            </w:r>
            <w:r>
              <w:rPr>
                <w:rFonts w:ascii="宋体" w:hAnsi="宋体" w:eastAsia="宋体" w:cs="宋体"/>
                <w:spacing w:val="39"/>
                <w:sz w:val="24"/>
                <w:szCs w:val="24"/>
              </w:rPr>
              <w:t xml:space="preserve">  </w:t>
            </w:r>
            <w:r>
              <w:rPr>
                <w:rFonts w:ascii="宋体" w:hAnsi="宋体" w:eastAsia="宋体" w:cs="宋体"/>
                <w:sz w:val="24"/>
                <w:szCs w:val="24"/>
              </w:rPr>
              <w:t>他</w:t>
            </w:r>
            <w:r>
              <w:rPr>
                <w:rFonts w:ascii="宋体" w:hAnsi="宋体" w:eastAsia="宋体" w:cs="宋体"/>
                <w:spacing w:val="41"/>
                <w:sz w:val="24"/>
                <w:szCs w:val="24"/>
              </w:rPr>
              <w:t xml:space="preserve">  </w:t>
            </w:r>
            <w:r>
              <w:rPr>
                <w:rFonts w:ascii="宋体" w:hAnsi="宋体" w:eastAsia="宋体" w:cs="宋体"/>
                <w:sz w:val="24"/>
                <w:szCs w:val="24"/>
              </w:rPr>
              <w:t>结</w:t>
            </w:r>
            <w:r>
              <w:rPr>
                <w:rFonts w:ascii="宋体" w:hAnsi="宋体" w:eastAsia="宋体" w:cs="宋体"/>
                <w:spacing w:val="40"/>
                <w:sz w:val="24"/>
                <w:szCs w:val="24"/>
              </w:rPr>
              <w:t xml:space="preserve">  </w:t>
            </w:r>
            <w:r>
              <w:rPr>
                <w:rFonts w:ascii="宋体" w:hAnsi="宋体" w:eastAsia="宋体" w:cs="宋体"/>
                <w:sz w:val="24"/>
                <w:szCs w:val="24"/>
              </w:rPr>
              <w:t>果</w:t>
            </w:r>
          </w:p>
        </w:tc>
        <w:tc>
          <w:tcPr>
            <w:tcW w:w="650" w:type="dxa"/>
            <w:textDirection w:val="tbRlV"/>
            <w:vAlign w:val="top"/>
          </w:tcPr>
          <w:p>
            <w:pPr>
              <w:spacing w:before="192" w:line="180" w:lineRule="auto"/>
              <w:ind w:firstLine="242"/>
              <w:rPr>
                <w:rFonts w:ascii="宋体" w:hAnsi="宋体" w:eastAsia="宋体" w:cs="宋体"/>
                <w:sz w:val="24"/>
                <w:szCs w:val="24"/>
              </w:rPr>
            </w:pPr>
            <w:r>
              <w:rPr>
                <w:rFonts w:ascii="宋体" w:hAnsi="宋体" w:eastAsia="宋体" w:cs="宋体"/>
                <w:sz w:val="24"/>
                <w:szCs w:val="24"/>
              </w:rPr>
              <w:t>尚</w:t>
            </w:r>
            <w:r>
              <w:rPr>
                <w:rFonts w:ascii="宋体" w:hAnsi="宋体" w:eastAsia="宋体" w:cs="宋体"/>
                <w:spacing w:val="39"/>
                <w:sz w:val="24"/>
                <w:szCs w:val="24"/>
              </w:rPr>
              <w:t xml:space="preserve">  </w:t>
            </w:r>
            <w:r>
              <w:rPr>
                <w:rFonts w:ascii="宋体" w:hAnsi="宋体" w:eastAsia="宋体" w:cs="宋体"/>
                <w:sz w:val="24"/>
                <w:szCs w:val="24"/>
              </w:rPr>
              <w:t>未</w:t>
            </w:r>
            <w:r>
              <w:rPr>
                <w:rFonts w:ascii="宋体" w:hAnsi="宋体" w:eastAsia="宋体" w:cs="宋体"/>
                <w:spacing w:val="41"/>
                <w:sz w:val="24"/>
                <w:szCs w:val="24"/>
              </w:rPr>
              <w:t xml:space="preserve">  </w:t>
            </w:r>
            <w:r>
              <w:rPr>
                <w:rFonts w:ascii="宋体" w:hAnsi="宋体" w:eastAsia="宋体" w:cs="宋体"/>
                <w:sz w:val="24"/>
                <w:szCs w:val="24"/>
              </w:rPr>
              <w:t>审</w:t>
            </w:r>
            <w:r>
              <w:rPr>
                <w:rFonts w:ascii="宋体" w:hAnsi="宋体" w:eastAsia="宋体" w:cs="宋体"/>
                <w:spacing w:val="40"/>
                <w:sz w:val="24"/>
                <w:szCs w:val="24"/>
              </w:rPr>
              <w:t xml:space="preserve">  </w:t>
            </w:r>
            <w:r>
              <w:rPr>
                <w:rFonts w:ascii="宋体" w:hAnsi="宋体" w:eastAsia="宋体" w:cs="宋体"/>
                <w:sz w:val="24"/>
                <w:szCs w:val="24"/>
              </w:rPr>
              <w:t>结</w:t>
            </w:r>
          </w:p>
        </w:tc>
        <w:tc>
          <w:tcPr>
            <w:tcW w:w="659" w:type="dxa"/>
            <w:textDirection w:val="tbRlV"/>
            <w:vAlign w:val="top"/>
          </w:tcPr>
          <w:p>
            <w:pPr>
              <w:spacing w:before="202" w:line="180" w:lineRule="auto"/>
              <w:ind w:firstLine="801"/>
              <w:rPr>
                <w:rFonts w:ascii="宋体" w:hAnsi="宋体" w:eastAsia="宋体" w:cs="宋体"/>
                <w:sz w:val="24"/>
                <w:szCs w:val="24"/>
              </w:rPr>
            </w:pPr>
            <w:r>
              <w:rPr>
                <w:rFonts w:ascii="宋体" w:hAnsi="宋体" w:eastAsia="宋体" w:cs="宋体"/>
                <w:sz w:val="24"/>
                <w:szCs w:val="24"/>
              </w:rPr>
              <w:t>总</w:t>
            </w:r>
            <w:r>
              <w:rPr>
                <w:rFonts w:ascii="宋体" w:hAnsi="宋体" w:eastAsia="宋体" w:cs="宋体"/>
                <w:spacing w:val="41"/>
                <w:sz w:val="24"/>
                <w:szCs w:val="24"/>
              </w:rPr>
              <w:t xml:space="preserve">  </w:t>
            </w:r>
            <w:r>
              <w:rPr>
                <w:rFonts w:ascii="宋体" w:hAnsi="宋体" w:eastAsia="宋体" w:cs="宋体"/>
                <w:sz w:val="24"/>
                <w:szCs w:val="24"/>
              </w:rPr>
              <w:t>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3" w:hRule="atLeast"/>
        </w:trPr>
        <w:tc>
          <w:tcPr>
            <w:tcW w:w="660" w:type="dxa"/>
            <w:vAlign w:val="center"/>
          </w:tcPr>
          <w:p>
            <w:pPr>
              <w:jc w:val="center"/>
              <w:rPr>
                <w:rFonts w:ascii="宋体"/>
                <w:sz w:val="24"/>
                <w:szCs w:val="24"/>
              </w:rPr>
            </w:pPr>
            <w:r>
              <w:rPr>
                <w:rFonts w:hint="eastAsia" w:ascii="宋体" w:eastAsia="宋体"/>
                <w:sz w:val="24"/>
                <w:szCs w:val="24"/>
                <w:lang w:val="en-US" w:eastAsia="zh-CN"/>
              </w:rPr>
              <w:t>0</w:t>
            </w:r>
          </w:p>
        </w:tc>
        <w:tc>
          <w:tcPr>
            <w:tcW w:w="649" w:type="dxa"/>
            <w:vAlign w:val="center"/>
          </w:tcPr>
          <w:p>
            <w:pPr>
              <w:jc w:val="center"/>
              <w:rPr>
                <w:rFonts w:ascii="宋体"/>
                <w:sz w:val="24"/>
                <w:szCs w:val="24"/>
              </w:rPr>
            </w:pPr>
            <w:r>
              <w:rPr>
                <w:rFonts w:hint="eastAsia" w:ascii="宋体" w:eastAsia="宋体"/>
                <w:sz w:val="24"/>
                <w:szCs w:val="24"/>
                <w:lang w:val="en-US" w:eastAsia="zh-CN"/>
              </w:rPr>
              <w:t>0</w:t>
            </w:r>
          </w:p>
        </w:tc>
        <w:tc>
          <w:tcPr>
            <w:tcW w:w="647" w:type="dxa"/>
            <w:vAlign w:val="center"/>
          </w:tcPr>
          <w:p>
            <w:pPr>
              <w:jc w:val="center"/>
              <w:rPr>
                <w:rFonts w:ascii="宋体"/>
                <w:sz w:val="24"/>
                <w:szCs w:val="24"/>
              </w:rPr>
            </w:pPr>
            <w:r>
              <w:rPr>
                <w:rFonts w:hint="eastAsia" w:ascii="宋体" w:eastAsia="宋体"/>
                <w:sz w:val="24"/>
                <w:szCs w:val="24"/>
                <w:lang w:val="en-US" w:eastAsia="zh-CN"/>
              </w:rPr>
              <w:t>0</w:t>
            </w:r>
          </w:p>
        </w:tc>
        <w:tc>
          <w:tcPr>
            <w:tcW w:w="650" w:type="dxa"/>
            <w:vAlign w:val="center"/>
          </w:tcPr>
          <w:p>
            <w:pPr>
              <w:jc w:val="center"/>
              <w:rPr>
                <w:rFonts w:ascii="宋体"/>
                <w:sz w:val="24"/>
                <w:szCs w:val="24"/>
              </w:rPr>
            </w:pPr>
            <w:r>
              <w:rPr>
                <w:rFonts w:hint="eastAsia" w:ascii="宋体" w:eastAsia="宋体"/>
                <w:sz w:val="24"/>
                <w:szCs w:val="24"/>
                <w:lang w:val="en-US" w:eastAsia="zh-CN"/>
              </w:rPr>
              <w:t>0</w:t>
            </w:r>
          </w:p>
        </w:tc>
        <w:tc>
          <w:tcPr>
            <w:tcW w:w="649" w:type="dxa"/>
            <w:vAlign w:val="center"/>
          </w:tcPr>
          <w:p>
            <w:pPr>
              <w:jc w:val="center"/>
              <w:rPr>
                <w:rFonts w:ascii="宋体"/>
                <w:sz w:val="24"/>
                <w:szCs w:val="24"/>
              </w:rPr>
            </w:pPr>
            <w:r>
              <w:rPr>
                <w:rFonts w:hint="eastAsia" w:ascii="宋体" w:eastAsia="宋体"/>
                <w:sz w:val="24"/>
                <w:szCs w:val="24"/>
                <w:lang w:val="en-US" w:eastAsia="zh-CN"/>
              </w:rPr>
              <w:t>0</w:t>
            </w:r>
          </w:p>
        </w:tc>
        <w:tc>
          <w:tcPr>
            <w:tcW w:w="649" w:type="dxa"/>
            <w:vAlign w:val="center"/>
          </w:tcPr>
          <w:p>
            <w:pPr>
              <w:jc w:val="center"/>
              <w:rPr>
                <w:rFonts w:ascii="宋体"/>
                <w:sz w:val="24"/>
                <w:szCs w:val="24"/>
              </w:rPr>
            </w:pPr>
            <w:r>
              <w:rPr>
                <w:rFonts w:hint="eastAsia" w:ascii="宋体" w:eastAsia="宋体"/>
                <w:sz w:val="24"/>
                <w:szCs w:val="24"/>
                <w:lang w:val="en-US" w:eastAsia="zh-CN"/>
              </w:rPr>
              <w:t>0</w:t>
            </w:r>
          </w:p>
        </w:tc>
        <w:tc>
          <w:tcPr>
            <w:tcW w:w="648" w:type="dxa"/>
            <w:vAlign w:val="center"/>
          </w:tcPr>
          <w:p>
            <w:pPr>
              <w:jc w:val="center"/>
              <w:rPr>
                <w:rFonts w:ascii="宋体"/>
                <w:sz w:val="24"/>
                <w:szCs w:val="24"/>
              </w:rPr>
            </w:pPr>
            <w:r>
              <w:rPr>
                <w:rFonts w:hint="eastAsia" w:ascii="宋体" w:eastAsia="宋体"/>
                <w:sz w:val="24"/>
                <w:szCs w:val="24"/>
                <w:lang w:val="en-US" w:eastAsia="zh-CN"/>
              </w:rPr>
              <w:t>0</w:t>
            </w:r>
          </w:p>
        </w:tc>
        <w:tc>
          <w:tcPr>
            <w:tcW w:w="650" w:type="dxa"/>
            <w:vAlign w:val="center"/>
          </w:tcPr>
          <w:p>
            <w:pPr>
              <w:jc w:val="center"/>
              <w:rPr>
                <w:rFonts w:ascii="宋体"/>
                <w:sz w:val="24"/>
                <w:szCs w:val="24"/>
              </w:rPr>
            </w:pPr>
            <w:r>
              <w:rPr>
                <w:rFonts w:hint="eastAsia" w:ascii="宋体" w:eastAsia="宋体"/>
                <w:sz w:val="24"/>
                <w:szCs w:val="24"/>
                <w:lang w:val="en-US" w:eastAsia="zh-CN"/>
              </w:rPr>
              <w:t>0</w:t>
            </w:r>
          </w:p>
        </w:tc>
        <w:tc>
          <w:tcPr>
            <w:tcW w:w="649" w:type="dxa"/>
            <w:vAlign w:val="center"/>
          </w:tcPr>
          <w:p>
            <w:pPr>
              <w:jc w:val="center"/>
              <w:rPr>
                <w:rFonts w:ascii="宋体"/>
                <w:sz w:val="24"/>
                <w:szCs w:val="24"/>
              </w:rPr>
            </w:pPr>
            <w:r>
              <w:rPr>
                <w:rFonts w:hint="eastAsia" w:ascii="宋体" w:eastAsia="宋体"/>
                <w:sz w:val="24"/>
                <w:szCs w:val="24"/>
                <w:lang w:val="en-US" w:eastAsia="zh-CN"/>
              </w:rPr>
              <w:t>0</w:t>
            </w:r>
          </w:p>
        </w:tc>
        <w:tc>
          <w:tcPr>
            <w:tcW w:w="647" w:type="dxa"/>
            <w:vAlign w:val="center"/>
          </w:tcPr>
          <w:p>
            <w:pPr>
              <w:jc w:val="center"/>
              <w:rPr>
                <w:rFonts w:ascii="宋体"/>
                <w:sz w:val="24"/>
                <w:szCs w:val="24"/>
              </w:rPr>
            </w:pPr>
            <w:r>
              <w:rPr>
                <w:rFonts w:hint="eastAsia" w:ascii="宋体" w:eastAsia="宋体"/>
                <w:sz w:val="24"/>
                <w:szCs w:val="24"/>
                <w:lang w:val="en-US" w:eastAsia="zh-CN"/>
              </w:rPr>
              <w:t>0</w:t>
            </w:r>
          </w:p>
        </w:tc>
        <w:tc>
          <w:tcPr>
            <w:tcW w:w="650" w:type="dxa"/>
            <w:vAlign w:val="center"/>
          </w:tcPr>
          <w:p>
            <w:pPr>
              <w:jc w:val="center"/>
              <w:rPr>
                <w:rFonts w:ascii="宋体"/>
                <w:sz w:val="24"/>
                <w:szCs w:val="24"/>
              </w:rPr>
            </w:pPr>
            <w:r>
              <w:rPr>
                <w:rFonts w:hint="eastAsia" w:ascii="宋体" w:eastAsia="宋体"/>
                <w:sz w:val="24"/>
                <w:szCs w:val="24"/>
                <w:lang w:val="en-US" w:eastAsia="zh-CN"/>
              </w:rPr>
              <w:t>0</w:t>
            </w:r>
          </w:p>
        </w:tc>
        <w:tc>
          <w:tcPr>
            <w:tcW w:w="649" w:type="dxa"/>
            <w:vAlign w:val="center"/>
          </w:tcPr>
          <w:p>
            <w:pPr>
              <w:jc w:val="center"/>
              <w:rPr>
                <w:rFonts w:ascii="宋体"/>
                <w:sz w:val="24"/>
                <w:szCs w:val="24"/>
              </w:rPr>
            </w:pPr>
            <w:r>
              <w:rPr>
                <w:rFonts w:hint="eastAsia" w:ascii="宋体" w:eastAsia="宋体"/>
                <w:sz w:val="24"/>
                <w:szCs w:val="24"/>
                <w:lang w:val="en-US" w:eastAsia="zh-CN"/>
              </w:rPr>
              <w:t>0</w:t>
            </w:r>
          </w:p>
        </w:tc>
        <w:tc>
          <w:tcPr>
            <w:tcW w:w="649" w:type="dxa"/>
            <w:vAlign w:val="center"/>
          </w:tcPr>
          <w:p>
            <w:pPr>
              <w:jc w:val="center"/>
              <w:rPr>
                <w:rFonts w:ascii="宋体"/>
                <w:sz w:val="24"/>
                <w:szCs w:val="24"/>
              </w:rPr>
            </w:pPr>
            <w:r>
              <w:rPr>
                <w:rFonts w:hint="eastAsia" w:ascii="宋体" w:eastAsia="宋体"/>
                <w:sz w:val="24"/>
                <w:szCs w:val="24"/>
                <w:lang w:val="en-US" w:eastAsia="zh-CN"/>
              </w:rPr>
              <w:t>0</w:t>
            </w:r>
          </w:p>
        </w:tc>
        <w:tc>
          <w:tcPr>
            <w:tcW w:w="650" w:type="dxa"/>
            <w:vAlign w:val="center"/>
          </w:tcPr>
          <w:p>
            <w:pPr>
              <w:jc w:val="center"/>
              <w:rPr>
                <w:rFonts w:ascii="宋体"/>
                <w:sz w:val="24"/>
                <w:szCs w:val="24"/>
              </w:rPr>
            </w:pPr>
            <w:r>
              <w:rPr>
                <w:rFonts w:hint="eastAsia" w:ascii="宋体" w:eastAsia="宋体"/>
                <w:sz w:val="24"/>
                <w:szCs w:val="24"/>
                <w:lang w:val="en-US" w:eastAsia="zh-CN"/>
              </w:rPr>
              <w:t>0</w:t>
            </w:r>
          </w:p>
        </w:tc>
        <w:tc>
          <w:tcPr>
            <w:tcW w:w="659" w:type="dxa"/>
            <w:vAlign w:val="center"/>
          </w:tcPr>
          <w:p>
            <w:pPr>
              <w:jc w:val="center"/>
              <w:rPr>
                <w:rFonts w:ascii="宋体"/>
                <w:sz w:val="24"/>
                <w:szCs w:val="24"/>
              </w:rPr>
            </w:pPr>
            <w:r>
              <w:rPr>
                <w:rFonts w:hint="eastAsia" w:ascii="宋体" w:eastAsia="宋体"/>
                <w:sz w:val="24"/>
                <w:szCs w:val="24"/>
                <w:lang w:val="en-US" w:eastAsia="zh-CN"/>
              </w:rPr>
              <w:t>0</w:t>
            </w:r>
          </w:p>
        </w:tc>
      </w:tr>
    </w:tbl>
    <w:p>
      <w:pPr>
        <w:widowControl w:val="0"/>
        <w:numPr>
          <w:ilvl w:val="0"/>
          <w:numId w:val="0"/>
        </w:numPr>
        <w:kinsoku/>
        <w:autoSpaceDE/>
        <w:autoSpaceDN/>
        <w:adjustRightInd/>
        <w:snapToGrid/>
        <w:spacing w:line="560" w:lineRule="exact"/>
        <w:ind w:firstLine="600" w:firstLineChars="200"/>
        <w:jc w:val="both"/>
        <w:textAlignment w:val="auto"/>
        <w:rPr>
          <w:rFonts w:hint="eastAsia" w:ascii="仿宋" w:hAnsi="仿宋" w:eastAsia="仿宋" w:cs="仿宋"/>
          <w:color w:val="000000"/>
          <w:kern w:val="0"/>
          <w:sz w:val="30"/>
          <w:szCs w:val="30"/>
          <w:lang w:val="en-US" w:eastAsia="zh-CN"/>
        </w:rPr>
      </w:pPr>
      <w:r>
        <w:rPr>
          <w:rFonts w:hint="eastAsia" w:ascii="方正小标宋简体" w:hAnsi="方正小标宋简体" w:eastAsia="方正小标宋简体" w:cs="方正小标宋简体"/>
          <w:b w:val="0"/>
          <w:bCs/>
          <w:snapToGrid/>
          <w:kern w:val="2"/>
          <w:sz w:val="30"/>
          <w:szCs w:val="30"/>
          <w:lang w:val="en-US" w:eastAsia="zh-CN" w:bidi="ar-SA"/>
        </w:rPr>
        <w:t>五、存在的主要问题及改进情况</w:t>
      </w:r>
    </w:p>
    <w:p>
      <w:pPr>
        <w:widowControl w:val="0"/>
        <w:numPr>
          <w:ilvl w:val="0"/>
          <w:numId w:val="0"/>
        </w:numPr>
        <w:kinsoku/>
        <w:autoSpaceDE/>
        <w:autoSpaceDN/>
        <w:adjustRightInd/>
        <w:snapToGrid/>
        <w:spacing w:line="560" w:lineRule="exact"/>
        <w:ind w:firstLine="600" w:firstLineChars="200"/>
        <w:jc w:val="both"/>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2022年我街道较好地完成了信息公开工作，但对照上级工作要求和群众需求还存在一定差距，考虑从以下三个方面作进一步的改进：</w:t>
      </w:r>
    </w:p>
    <w:p>
      <w:pPr>
        <w:widowControl w:val="0"/>
        <w:numPr>
          <w:ilvl w:val="0"/>
          <w:numId w:val="0"/>
        </w:numPr>
        <w:kinsoku/>
        <w:autoSpaceDE/>
        <w:autoSpaceDN/>
        <w:adjustRightInd/>
        <w:snapToGrid/>
        <w:spacing w:line="560" w:lineRule="exact"/>
        <w:ind w:firstLine="600" w:firstLineChars="200"/>
        <w:jc w:val="both"/>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（一）拓展政府信息公开内容。以社会关注度较高的信息作为突破口，推进公开不同领域的政府信息的公开内容细则，逐步探索形成工作规则。</w:t>
      </w:r>
    </w:p>
    <w:p>
      <w:pPr>
        <w:widowControl w:val="0"/>
        <w:numPr>
          <w:ilvl w:val="0"/>
          <w:numId w:val="0"/>
        </w:numPr>
        <w:kinsoku/>
        <w:autoSpaceDE/>
        <w:autoSpaceDN/>
        <w:adjustRightInd/>
        <w:snapToGrid/>
        <w:spacing w:line="560" w:lineRule="exact"/>
        <w:ind w:firstLine="600" w:firstLineChars="200"/>
        <w:jc w:val="both"/>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（二）规范政府信息公开工作。进一步规范信息公开流程，并开展对各公文类信息公开属性复查试点工作，开展政府信息公开建议改进工作，并探索形成相应的工作规则。</w:t>
      </w:r>
    </w:p>
    <w:p>
      <w:pPr>
        <w:widowControl w:val="0"/>
        <w:numPr>
          <w:ilvl w:val="0"/>
          <w:numId w:val="0"/>
        </w:numPr>
        <w:kinsoku/>
        <w:autoSpaceDE/>
        <w:autoSpaceDN/>
        <w:adjustRightInd/>
        <w:snapToGrid/>
        <w:spacing w:line="560" w:lineRule="exact"/>
        <w:ind w:firstLine="600" w:firstLineChars="200"/>
        <w:jc w:val="both"/>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rPr>
        <w:t>（三）坚持与时俱进，通过新媒体和先进技术手段，保障信息公开的时效性，提高工作效率。</w:t>
      </w:r>
    </w:p>
    <w:p>
      <w:pPr>
        <w:widowControl w:val="0"/>
        <w:numPr>
          <w:ilvl w:val="0"/>
          <w:numId w:val="0"/>
        </w:numPr>
        <w:kinsoku/>
        <w:autoSpaceDE/>
        <w:autoSpaceDN/>
        <w:adjustRightInd/>
        <w:snapToGrid/>
        <w:spacing w:line="560" w:lineRule="exact"/>
        <w:ind w:firstLine="600" w:firstLineChars="200"/>
        <w:jc w:val="both"/>
        <w:textAlignment w:val="auto"/>
        <w:rPr>
          <w:rFonts w:hint="eastAsia" w:ascii="方正小标宋简体" w:hAnsi="方正小标宋简体" w:eastAsia="方正小标宋简体" w:cs="方正小标宋简体"/>
          <w:b w:val="0"/>
          <w:bCs/>
          <w:snapToGrid/>
          <w:kern w:val="2"/>
          <w:sz w:val="30"/>
          <w:szCs w:val="30"/>
          <w:lang w:val="en-US" w:eastAsia="zh-CN" w:bidi="ar-SA"/>
        </w:rPr>
      </w:pPr>
      <w:r>
        <w:rPr>
          <w:rFonts w:hint="eastAsia" w:ascii="方正小标宋简体" w:hAnsi="方正小标宋简体" w:eastAsia="方正小标宋简体" w:cs="方正小标宋简体"/>
          <w:b w:val="0"/>
          <w:bCs/>
          <w:snapToGrid/>
          <w:kern w:val="2"/>
          <w:sz w:val="30"/>
          <w:szCs w:val="30"/>
          <w:lang w:val="en-US" w:eastAsia="zh-CN" w:bidi="ar-SA"/>
        </w:rPr>
        <w:t>六、其他需要报告的事项</w:t>
      </w:r>
    </w:p>
    <w:p>
      <w:pPr>
        <w:widowControl w:val="0"/>
        <w:numPr>
          <w:ilvl w:val="0"/>
          <w:numId w:val="0"/>
        </w:numPr>
        <w:kinsoku/>
        <w:autoSpaceDE/>
        <w:autoSpaceDN/>
        <w:adjustRightInd/>
        <w:snapToGrid/>
        <w:spacing w:line="560" w:lineRule="exact"/>
        <w:ind w:firstLine="600" w:firstLineChars="200"/>
        <w:jc w:val="right"/>
        <w:textAlignment w:val="auto"/>
        <w:rPr>
          <w:rFonts w:hint="eastAsia" w:ascii="仿宋" w:hAnsi="仿宋" w:eastAsia="仿宋" w:cs="仿宋"/>
          <w:color w:val="000000"/>
          <w:kern w:val="0"/>
          <w:sz w:val="30"/>
          <w:szCs w:val="30"/>
          <w:lang w:val="en-US" w:eastAsia="zh-CN"/>
        </w:rPr>
      </w:pPr>
      <w:r>
        <w:rPr>
          <w:rFonts w:hint="eastAsia" w:ascii="仿宋" w:hAnsi="仿宋" w:eastAsia="仿宋" w:cs="仿宋"/>
          <w:color w:val="000000"/>
          <w:kern w:val="0"/>
          <w:sz w:val="30"/>
          <w:szCs w:val="30"/>
          <w:lang w:val="en-US" w:eastAsia="zh-CN" w:bidi="ar"/>
        </w:rPr>
        <w:t>本年度未收取信息公开相关处理费用,无其他需要报告事项。</w:t>
      </w:r>
      <w:r>
        <w:rPr>
          <w:rFonts w:hint="eastAsia" w:ascii="仿宋" w:hAnsi="仿宋" w:eastAsia="仿宋" w:cs="仿宋"/>
          <w:color w:val="000000"/>
          <w:kern w:val="0"/>
          <w:sz w:val="30"/>
          <w:szCs w:val="30"/>
          <w:lang w:val="en-US" w:eastAsia="zh-CN"/>
        </w:rPr>
        <w:t>栖霞区人民政府八卦洲办事处</w:t>
      </w:r>
    </w:p>
    <w:p>
      <w:pPr>
        <w:widowControl w:val="0"/>
        <w:numPr>
          <w:ilvl w:val="0"/>
          <w:numId w:val="0"/>
        </w:numPr>
        <w:kinsoku/>
        <w:autoSpaceDE/>
        <w:autoSpaceDN/>
        <w:adjustRightInd/>
        <w:snapToGrid/>
        <w:spacing w:line="560" w:lineRule="exact"/>
        <w:ind w:firstLine="600" w:firstLineChars="200"/>
        <w:jc w:val="right"/>
        <w:textAlignment w:val="auto"/>
        <w:rPr>
          <w:rFonts w:hint="eastAsia" w:ascii="方正小标宋简体" w:hAnsi="方正小标宋简体" w:eastAsia="方正小标宋简体" w:cs="方正小标宋简体"/>
          <w:snapToGrid/>
          <w:color w:val="000000"/>
          <w:kern w:val="0"/>
          <w:sz w:val="31"/>
          <w:szCs w:val="31"/>
          <w:lang w:val="en-US" w:eastAsia="zh-CN" w:bidi="ar"/>
        </w:rPr>
      </w:pPr>
      <w:r>
        <w:rPr>
          <w:rFonts w:hint="eastAsia" w:ascii="仿宋" w:hAnsi="仿宋" w:eastAsia="仿宋" w:cs="仿宋"/>
          <w:color w:val="000000"/>
          <w:kern w:val="0"/>
          <w:sz w:val="30"/>
          <w:szCs w:val="30"/>
          <w:lang w:val="en-US" w:eastAsia="zh-CN"/>
        </w:rPr>
        <w:t>2023年1月11日</w:t>
      </w:r>
    </w:p>
    <w:sectPr>
      <w:footerReference r:id="rId5" w:type="default"/>
      <w:pgSz w:w="11907" w:h="16839"/>
      <w:pgMar w:top="1440" w:right="1800" w:bottom="1440" w:left="1800" w:header="0" w:footer="107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4" w:lineRule="exact"/>
      <w:rPr>
        <w:rFonts w:ascii="宋体" w:hAnsi="宋体" w:eastAsia="宋体" w:cs="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86C19E"/>
    <w:multiLevelType w:val="singleLevel"/>
    <w:tmpl w:val="F986C19E"/>
    <w:lvl w:ilvl="0" w:tentative="0">
      <w:start w:val="1"/>
      <w:numFmt w:val="chineseCounting"/>
      <w:suff w:val="nothing"/>
      <w:lvlText w:val="%1、"/>
      <w:lvlJc w:val="left"/>
      <w:rPr>
        <w:rFonts w:hint="eastAsia"/>
      </w:rPr>
    </w:lvl>
  </w:abstractNum>
  <w:abstractNum w:abstractNumId="1">
    <w:nsid w:val="76DF1124"/>
    <w:multiLevelType w:val="singleLevel"/>
    <w:tmpl w:val="76DF1124"/>
    <w:lvl w:ilvl="0" w:tentative="0">
      <w:start w:val="1"/>
      <w:numFmt w:val="chineseCounting"/>
      <w:suff w:val="nothing"/>
      <w:lvlText w:val="（%1）"/>
      <w:lvlJc w:val="left"/>
      <w:rPr>
        <w:rFonts w:hint="eastAsia" w:ascii="仿宋" w:hAnsi="仿宋" w:eastAsia="仿宋" w:cs="仿宋"/>
        <w:sz w:val="30"/>
        <w:szCs w:val="3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TA4MjkyNDIzMTdiNDUwZTgxMWQzYWYzMjZjNWNhNmIifQ=="/>
  </w:docVars>
  <w:rsids>
    <w:rsidRoot w:val="00000000"/>
    <w:rsid w:val="068C109B"/>
    <w:rsid w:val="117417AC"/>
    <w:rsid w:val="11974C34"/>
    <w:rsid w:val="11B54D89"/>
    <w:rsid w:val="16C7444B"/>
    <w:rsid w:val="19F90E24"/>
    <w:rsid w:val="1AB66952"/>
    <w:rsid w:val="1AB772D9"/>
    <w:rsid w:val="1B1E1106"/>
    <w:rsid w:val="220124C7"/>
    <w:rsid w:val="27BB7CDD"/>
    <w:rsid w:val="2A4E4E38"/>
    <w:rsid w:val="2ACA5085"/>
    <w:rsid w:val="387E4B3B"/>
    <w:rsid w:val="39A73D5E"/>
    <w:rsid w:val="40003051"/>
    <w:rsid w:val="43005AC4"/>
    <w:rsid w:val="44DE0BAF"/>
    <w:rsid w:val="49357497"/>
    <w:rsid w:val="4FE82F87"/>
    <w:rsid w:val="51E732F9"/>
    <w:rsid w:val="53B51F76"/>
    <w:rsid w:val="54180F40"/>
    <w:rsid w:val="5DF5198A"/>
    <w:rsid w:val="5E744E2E"/>
    <w:rsid w:val="5F465B03"/>
    <w:rsid w:val="5FF94823"/>
    <w:rsid w:val="624502F4"/>
    <w:rsid w:val="644E6BDE"/>
    <w:rsid w:val="64CC32C3"/>
    <w:rsid w:val="66EC52A8"/>
    <w:rsid w:val="77065E4C"/>
    <w:rsid w:val="774255AD"/>
    <w:rsid w:val="779B336A"/>
    <w:rsid w:val="78FB12B4"/>
    <w:rsid w:val="7B8D195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2154</Words>
  <Characters>2200</Characters>
  <TotalTime>9</TotalTime>
  <ScaleCrop>false</ScaleCrop>
  <LinksUpToDate>false</LinksUpToDate>
  <CharactersWithSpaces>2278</CharactersWithSpaces>
  <Application>WPS Office_11.1.0.13703_F1E327BC-269C-435d-A152-05C5408002CA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2022-01-12T10:56:00Z</dcterms:created>
  <dc:creator>荣荣</dc:creator>
  <cp:lastModifiedBy>要开心</cp:lastModifiedBy>
  <dcterms:modified xsi:type="dcterms:W3CDTF">2023-01-13T07:26:07Z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2022-01-12T15:28:10Z</vt:filetime>
  </property>
  <property fmtid="{D5CDD505-2E9C-101B-9397-08002B2CF9AE}" pid="4" name="KSOProductBuildVer">
    <vt:lpwstr>2052-11.1.0.13703</vt:lpwstr>
  </property>
  <property fmtid="{D5CDD505-2E9C-101B-9397-08002B2CF9AE}" pid="5" name="ICV">
    <vt:lpwstr>9B9DB8F45BE8434B825A5295F7786039</vt:lpwstr>
  </property>
</Properties>
</file>