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南京市栖霞区应急管理局</w:t>
      </w:r>
      <w:r>
        <w:rPr>
          <w:rFonts w:hint="default" w:ascii="Times New Roman" w:hAnsi="Times New Roman" w:eastAsia="方正小标宋简体" w:cs="Times New Roman"/>
          <w:color w:val="auto"/>
          <w:sz w:val="44"/>
          <w:szCs w:val="44"/>
        </w:rPr>
        <w:t>信息公开</w:t>
      </w:r>
    </w:p>
    <w:p>
      <w:pPr>
        <w:spacing w:line="560" w:lineRule="exact"/>
        <w:jc w:val="center"/>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工作年度报告</w:t>
      </w:r>
    </w:p>
    <w:p>
      <w:pPr>
        <w:numPr>
          <w:ilvl w:val="0"/>
          <w:numId w:val="1"/>
        </w:numPr>
        <w:spacing w:line="560" w:lineRule="exact"/>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总体情况</w:t>
      </w:r>
    </w:p>
    <w:p>
      <w:pPr>
        <w:snapToGrid w:val="0"/>
        <w:spacing w:line="520" w:lineRule="exact"/>
        <w:ind w:firstLine="656" w:firstLineChars="200"/>
        <w:rPr>
          <w:rFonts w:hint="default" w:ascii="Times New Roman" w:hAnsi="Times New Roman" w:eastAsia="方正仿宋简体" w:cs="Times New Roman"/>
          <w:color w:val="auto"/>
          <w:spacing w:val="4"/>
          <w:sz w:val="32"/>
          <w:szCs w:val="32"/>
        </w:rPr>
      </w:pPr>
      <w:r>
        <w:rPr>
          <w:rFonts w:hint="default" w:ascii="Times New Roman" w:hAnsi="Times New Roman" w:eastAsia="方正仿宋简体" w:cs="Times New Roman"/>
          <w:color w:val="auto"/>
          <w:spacing w:val="4"/>
          <w:sz w:val="32"/>
          <w:szCs w:val="32"/>
        </w:rPr>
        <w:t>本局政府信息公开工作，配备了3名兼职工作人员，设立了1个专门的信息申请受理点。截至20</w:t>
      </w:r>
      <w:r>
        <w:rPr>
          <w:rFonts w:hint="default" w:ascii="Times New Roman" w:hAnsi="Times New Roman" w:eastAsia="方正仿宋简体" w:cs="Times New Roman"/>
          <w:color w:val="auto"/>
          <w:spacing w:val="4"/>
          <w:sz w:val="32"/>
          <w:szCs w:val="32"/>
          <w:lang w:val="en-US" w:eastAsia="zh-CN"/>
        </w:rPr>
        <w:t>21</w:t>
      </w:r>
      <w:r>
        <w:rPr>
          <w:rFonts w:hint="default" w:ascii="Times New Roman" w:hAnsi="Times New Roman" w:eastAsia="方正仿宋简体" w:cs="Times New Roman"/>
          <w:color w:val="auto"/>
          <w:spacing w:val="4"/>
          <w:sz w:val="32"/>
          <w:szCs w:val="32"/>
        </w:rPr>
        <w:t>年底，我局政府信息公开工作运行正常，政府信息公开咨询、申请以及答复工作均得到了顺利开展。</w:t>
      </w:r>
    </w:p>
    <w:p>
      <w:pPr>
        <w:spacing w:line="560" w:lineRule="exact"/>
        <w:ind w:firstLine="656" w:firstLineChars="20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pacing w:val="4"/>
          <w:sz w:val="32"/>
          <w:szCs w:val="30"/>
        </w:rPr>
        <w:t>1、完善工作机制。</w:t>
      </w:r>
      <w:r>
        <w:rPr>
          <w:rFonts w:hint="default" w:ascii="Times New Roman" w:hAnsi="Times New Roman" w:eastAsia="方正仿宋简体" w:cs="Times New Roman"/>
          <w:color w:val="auto"/>
          <w:sz w:val="32"/>
          <w:szCs w:val="32"/>
        </w:rPr>
        <w:t>我局高度重视信息公开工作，指定</w:t>
      </w:r>
      <w:r>
        <w:rPr>
          <w:rFonts w:hint="default" w:ascii="Times New Roman" w:hAnsi="Times New Roman" w:eastAsia="方正仿宋简体" w:cs="Times New Roman"/>
          <w:color w:val="auto"/>
          <w:sz w:val="32"/>
          <w:szCs w:val="32"/>
          <w:lang w:val="en-US" w:eastAsia="zh-CN"/>
        </w:rPr>
        <w:t>办公室李邵杰主任</w:t>
      </w:r>
      <w:r>
        <w:rPr>
          <w:rFonts w:hint="default" w:ascii="Times New Roman" w:hAnsi="Times New Roman" w:eastAsia="方正仿宋简体" w:cs="Times New Roman"/>
          <w:color w:val="auto"/>
          <w:sz w:val="32"/>
          <w:szCs w:val="32"/>
        </w:rPr>
        <w:t>具体分管，另指定3名工作人员负责政府信息公开工作，我局设立了1个专门的信息申请受理点，制定了《栖霞区</w:t>
      </w:r>
      <w:r>
        <w:rPr>
          <w:rFonts w:hint="default" w:ascii="Times New Roman" w:hAnsi="Times New Roman" w:eastAsia="方正仿宋简体" w:cs="Times New Roman"/>
          <w:color w:val="auto"/>
          <w:sz w:val="32"/>
          <w:szCs w:val="32"/>
          <w:lang w:val="en-US" w:eastAsia="zh-CN"/>
        </w:rPr>
        <w:t>应急</w:t>
      </w:r>
      <w:r>
        <w:rPr>
          <w:rFonts w:hint="default" w:ascii="Times New Roman" w:hAnsi="Times New Roman" w:eastAsia="方正仿宋简体" w:cs="Times New Roman"/>
          <w:color w:val="auto"/>
          <w:sz w:val="32"/>
          <w:szCs w:val="32"/>
        </w:rPr>
        <w:t>局政府信息主动公开工作制度》，明确工作流程，指定局办公室为接受市民信息公开申请的受理点，由各相关责任科室或大队承办落实负责答复，由领导审阅后，再由局办公室整理汇总后进行公开。</w:t>
      </w:r>
    </w:p>
    <w:p>
      <w:pPr>
        <w:spacing w:line="560" w:lineRule="exact"/>
        <w:ind w:firstLine="656" w:firstLineChars="200"/>
        <w:rPr>
          <w:rFonts w:hint="default" w:ascii="Times New Roman" w:hAnsi="Times New Roman" w:eastAsia="仿宋_GB2312" w:cs="Times New Roman"/>
          <w:color w:val="auto"/>
          <w:spacing w:val="4"/>
          <w:sz w:val="32"/>
          <w:szCs w:val="30"/>
        </w:rPr>
      </w:pPr>
      <w:r>
        <w:rPr>
          <w:rFonts w:hint="default" w:ascii="Times New Roman" w:hAnsi="Times New Roman" w:eastAsia="方正楷体简体" w:cs="Times New Roman"/>
          <w:color w:val="auto"/>
          <w:spacing w:val="4"/>
          <w:sz w:val="32"/>
          <w:szCs w:val="30"/>
        </w:rPr>
        <w:t>2、严格制度执行。</w:t>
      </w:r>
      <w:r>
        <w:rPr>
          <w:rFonts w:hint="default" w:ascii="Times New Roman" w:hAnsi="Times New Roman" w:eastAsia="方正仿宋简体" w:cs="Times New Roman"/>
          <w:color w:val="auto"/>
          <w:sz w:val="32"/>
          <w:szCs w:val="32"/>
        </w:rPr>
        <w:t>为规范信息公开工作，我局制定了本单位《栖霞区</w:t>
      </w:r>
      <w:r>
        <w:rPr>
          <w:rFonts w:hint="default" w:ascii="Times New Roman" w:hAnsi="Times New Roman" w:eastAsia="方正仿宋简体" w:cs="Times New Roman"/>
          <w:color w:val="auto"/>
          <w:sz w:val="32"/>
          <w:szCs w:val="32"/>
          <w:lang w:val="en-US" w:eastAsia="zh-CN"/>
        </w:rPr>
        <w:t>应急</w:t>
      </w:r>
      <w:r>
        <w:rPr>
          <w:rFonts w:hint="default" w:ascii="Times New Roman" w:hAnsi="Times New Roman" w:eastAsia="方正仿宋简体" w:cs="Times New Roman"/>
          <w:color w:val="auto"/>
          <w:sz w:val="32"/>
          <w:szCs w:val="32"/>
        </w:rPr>
        <w:t>局政府信息公开指南》、《栖霞区</w:t>
      </w:r>
      <w:r>
        <w:rPr>
          <w:rFonts w:hint="default" w:ascii="Times New Roman" w:hAnsi="Times New Roman" w:eastAsia="方正仿宋简体" w:cs="Times New Roman"/>
          <w:color w:val="auto"/>
          <w:sz w:val="32"/>
          <w:szCs w:val="32"/>
          <w:lang w:val="en-US" w:eastAsia="zh-CN"/>
        </w:rPr>
        <w:t>应急</w:t>
      </w:r>
      <w:r>
        <w:rPr>
          <w:rFonts w:hint="default" w:ascii="Times New Roman" w:hAnsi="Times New Roman" w:eastAsia="方正仿宋简体" w:cs="Times New Roman"/>
          <w:color w:val="auto"/>
          <w:sz w:val="32"/>
          <w:szCs w:val="32"/>
        </w:rPr>
        <w:t>局信息公开依申请公开工作制度》等13条信息公开相关制度，并且在政务信息网站上公布，每年在政务网站上公布政府信息公开工作年报，完善局信息公开保密审查制度、公开虚假或不完整信息澄清制度、信息公开发布协调制度等。因我局没有单独设立网站，因此我们不断加强管理，充分利用区信息平台向公众公开各类安全生产信息，严格执行信息公开各项规定。</w:t>
      </w:r>
    </w:p>
    <w:p>
      <w:pPr>
        <w:snapToGrid w:val="0"/>
        <w:spacing w:line="520" w:lineRule="exact"/>
        <w:ind w:firstLine="656" w:firstLineChars="20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pacing w:val="4"/>
          <w:sz w:val="32"/>
          <w:szCs w:val="30"/>
        </w:rPr>
        <w:t>3、夯实基础工作。</w:t>
      </w:r>
      <w:r>
        <w:rPr>
          <w:rFonts w:hint="default" w:ascii="Times New Roman" w:hAnsi="Times New Roman" w:eastAsia="方正仿宋简体" w:cs="Times New Roman"/>
          <w:color w:val="auto"/>
          <w:sz w:val="32"/>
          <w:szCs w:val="32"/>
        </w:rPr>
        <w:t>我局及时在政府信息公开网站上公开各科室办理业务内容，政务服务号码，局领导分工调整信息，群众办理事项流程，最新安全生产政策法规解读等，方便群众查阅。此外，我局利用多种渠道扩大安全宣传，举办安全培训</w:t>
      </w:r>
      <w:r>
        <w:rPr>
          <w:rFonts w:hint="default" w:ascii="Times New Roman" w:hAnsi="Times New Roman" w:eastAsia="方正仿宋简体" w:cs="Times New Roman"/>
          <w:color w:val="auto"/>
          <w:sz w:val="32"/>
          <w:szCs w:val="32"/>
          <w:lang w:val="en-US" w:eastAsia="zh-CN"/>
        </w:rPr>
        <w:t>12</w:t>
      </w:r>
      <w:r>
        <w:rPr>
          <w:rFonts w:hint="default" w:ascii="Times New Roman" w:hAnsi="Times New Roman" w:eastAsia="方正仿宋简体" w:cs="Times New Roman"/>
          <w:color w:val="auto"/>
          <w:sz w:val="32"/>
          <w:szCs w:val="32"/>
        </w:rPr>
        <w:t>期，</w:t>
      </w:r>
      <w:r>
        <w:rPr>
          <w:rFonts w:hint="default" w:ascii="Times New Roman" w:hAnsi="Times New Roman" w:eastAsia="方正仿宋简体" w:cs="Times New Roman"/>
          <w:color w:val="auto"/>
          <w:sz w:val="32"/>
          <w:szCs w:val="32"/>
          <w:lang w:val="en-US" w:eastAsia="zh-CN"/>
        </w:rPr>
        <w:t>全区</w:t>
      </w:r>
      <w:r>
        <w:rPr>
          <w:rFonts w:hint="default" w:ascii="Times New Roman" w:hAnsi="Times New Roman" w:eastAsia="方正仿宋简体" w:cs="Times New Roman"/>
          <w:color w:val="auto"/>
          <w:sz w:val="32"/>
          <w:szCs w:val="32"/>
        </w:rPr>
        <w:t>开展安全宣传广场活动、应急演练活动等</w:t>
      </w:r>
      <w:r>
        <w:rPr>
          <w:rFonts w:hint="default" w:ascii="Times New Roman" w:hAnsi="Times New Roman" w:eastAsia="方正仿宋简体" w:cs="Times New Roman"/>
          <w:color w:val="auto"/>
          <w:sz w:val="32"/>
          <w:szCs w:val="32"/>
          <w:lang w:val="en-US" w:eastAsia="zh-CN"/>
        </w:rPr>
        <w:t>300</w:t>
      </w:r>
      <w:r>
        <w:rPr>
          <w:rFonts w:hint="default" w:ascii="Times New Roman" w:hAnsi="Times New Roman" w:eastAsia="方正仿宋简体" w:cs="Times New Roman"/>
          <w:color w:val="auto"/>
          <w:sz w:val="32"/>
          <w:szCs w:val="32"/>
        </w:rPr>
        <w:t>余场。</w:t>
      </w:r>
    </w:p>
    <w:p>
      <w:pPr>
        <w:snapToGrid w:val="0"/>
        <w:spacing w:line="520" w:lineRule="exact"/>
        <w:ind w:firstLine="656" w:firstLineChars="20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pacing w:val="4"/>
          <w:sz w:val="32"/>
          <w:szCs w:val="30"/>
        </w:rPr>
        <w:t>4、加大公开力度。</w:t>
      </w:r>
      <w:r>
        <w:rPr>
          <w:rFonts w:hint="default" w:ascii="Times New Roman" w:hAnsi="Times New Roman" w:eastAsia="方正仿宋简体" w:cs="Times New Roman"/>
          <w:color w:val="auto"/>
          <w:sz w:val="32"/>
          <w:szCs w:val="32"/>
        </w:rPr>
        <w:t>我局利用区政府信息公开平台</w:t>
      </w:r>
      <w:r>
        <w:rPr>
          <w:rFonts w:hint="default" w:ascii="Times New Roman" w:hAnsi="Times New Roman" w:eastAsia="方正仿宋简体" w:cs="Times New Roman"/>
          <w:color w:val="auto"/>
          <w:sz w:val="32"/>
          <w:szCs w:val="32"/>
          <w:lang w:eastAsia="zh-CN"/>
        </w:rPr>
        <w:t>相关</w:t>
      </w:r>
      <w:r>
        <w:rPr>
          <w:rFonts w:hint="default" w:ascii="Times New Roman" w:hAnsi="Times New Roman" w:eastAsia="方正仿宋简体" w:cs="Times New Roman"/>
          <w:color w:val="auto"/>
          <w:sz w:val="32"/>
          <w:szCs w:val="32"/>
        </w:rPr>
        <w:t>信息。尽最大限度地把涉及安全生产方面的政策、法规、业务工作、新闻动态及时通过平台对外公布，除信息网站上公布之外，需要查阅相关的文件依据等可以直接到我局所属相关科室和大队进行查阅。</w:t>
      </w:r>
    </w:p>
    <w:p>
      <w:pPr>
        <w:snapToGrid w:val="0"/>
        <w:spacing w:line="520" w:lineRule="exact"/>
        <w:ind w:firstLine="656" w:firstLineChars="200"/>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pacing w:val="4"/>
          <w:sz w:val="32"/>
          <w:szCs w:val="30"/>
        </w:rPr>
        <w:t>5、提案答复情况。</w:t>
      </w:r>
      <w:r>
        <w:rPr>
          <w:rFonts w:hint="default" w:ascii="Times New Roman" w:hAnsi="Times New Roman" w:eastAsia="方正仿宋简体" w:cs="Times New Roman"/>
          <w:b w:val="0"/>
          <w:bCs w:val="0"/>
          <w:color w:val="auto"/>
          <w:sz w:val="32"/>
          <w:szCs w:val="32"/>
        </w:rPr>
        <w:t>20</w:t>
      </w:r>
      <w:r>
        <w:rPr>
          <w:rFonts w:hint="default" w:ascii="Times New Roman" w:hAnsi="Times New Roman" w:eastAsia="方正仿宋简体" w:cs="Times New Roman"/>
          <w:b w:val="0"/>
          <w:bCs w:val="0"/>
          <w:color w:val="auto"/>
          <w:sz w:val="32"/>
          <w:szCs w:val="32"/>
          <w:lang w:val="en-US" w:eastAsia="zh-CN"/>
        </w:rPr>
        <w:t>21</w:t>
      </w:r>
      <w:r>
        <w:rPr>
          <w:rFonts w:hint="default" w:ascii="Times New Roman" w:hAnsi="Times New Roman" w:eastAsia="方正仿宋简体" w:cs="Times New Roman"/>
          <w:b w:val="0"/>
          <w:bCs w:val="0"/>
          <w:color w:val="auto"/>
          <w:sz w:val="32"/>
          <w:szCs w:val="32"/>
        </w:rPr>
        <w:t>年我局共收到</w:t>
      </w:r>
      <w:r>
        <w:rPr>
          <w:rFonts w:hint="default" w:ascii="Times New Roman" w:hAnsi="Times New Roman" w:eastAsia="方正仿宋简体" w:cs="Times New Roman"/>
          <w:b w:val="0"/>
          <w:bCs w:val="0"/>
          <w:color w:val="auto"/>
          <w:sz w:val="32"/>
          <w:szCs w:val="32"/>
          <w:lang w:val="en-US" w:eastAsia="zh-CN"/>
        </w:rPr>
        <w:t>人大代表和</w:t>
      </w:r>
      <w:r>
        <w:rPr>
          <w:rFonts w:hint="default" w:ascii="Times New Roman" w:hAnsi="Times New Roman" w:eastAsia="方正仿宋简体" w:cs="Times New Roman"/>
          <w:b w:val="0"/>
          <w:bCs w:val="0"/>
          <w:color w:val="auto"/>
          <w:sz w:val="32"/>
          <w:szCs w:val="32"/>
        </w:rPr>
        <w:t>政协委员</w:t>
      </w:r>
      <w:r>
        <w:rPr>
          <w:rFonts w:hint="default"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lang w:val="en-US" w:eastAsia="zh-CN"/>
        </w:rPr>
        <w:t>建议</w:t>
      </w:r>
      <w:r>
        <w:rPr>
          <w:rFonts w:hint="default" w:ascii="Times New Roman" w:hAnsi="Times New Roman" w:eastAsia="方正仿宋简体" w:cs="Times New Roman"/>
          <w:b w:val="0"/>
          <w:bCs w:val="0"/>
          <w:color w:val="auto"/>
          <w:sz w:val="32"/>
          <w:szCs w:val="32"/>
        </w:rPr>
        <w:t>提案</w:t>
      </w:r>
      <w:r>
        <w:rPr>
          <w:rFonts w:hint="default" w:ascii="Times New Roman" w:hAnsi="Times New Roman" w:eastAsia="方正仿宋简体" w:cs="Times New Roman"/>
          <w:b w:val="0"/>
          <w:bCs w:val="0"/>
          <w:color w:val="auto"/>
          <w:sz w:val="32"/>
          <w:szCs w:val="32"/>
          <w:lang w:val="en-US" w:eastAsia="zh-CN"/>
        </w:rPr>
        <w:t>共5</w:t>
      </w:r>
      <w:r>
        <w:rPr>
          <w:rFonts w:hint="default" w:ascii="Times New Roman" w:hAnsi="Times New Roman" w:eastAsia="方正仿宋简体" w:cs="Times New Roman"/>
          <w:b w:val="0"/>
          <w:bCs w:val="0"/>
          <w:color w:val="auto"/>
          <w:sz w:val="32"/>
          <w:szCs w:val="32"/>
        </w:rPr>
        <w:t>件，</w:t>
      </w:r>
      <w:r>
        <w:rPr>
          <w:rFonts w:hint="default" w:ascii="Times New Roman" w:hAnsi="Times New Roman" w:eastAsia="方正仿宋简体" w:cs="Times New Roman"/>
          <w:b w:val="0"/>
          <w:bCs w:val="0"/>
          <w:color w:val="auto"/>
          <w:sz w:val="28"/>
          <w:szCs w:val="22"/>
          <w:lang w:val="en-US" w:eastAsia="zh-CN"/>
        </w:rPr>
        <w:t>关于政府部门安全监管的建议、</w:t>
      </w:r>
      <w:r>
        <w:rPr>
          <w:rFonts w:hint="default" w:ascii="Times New Roman" w:hAnsi="Times New Roman" w:eastAsia="方正仿宋简体" w:cs="Times New Roman"/>
          <w:b w:val="0"/>
          <w:bCs w:val="0"/>
          <w:color w:val="auto"/>
          <w:sz w:val="30"/>
          <w:lang w:val="en-US" w:eastAsia="zh-CN"/>
        </w:rPr>
        <w:t>关于建立应急救援志愿服务队伍的建议</w:t>
      </w:r>
      <w:r>
        <w:rPr>
          <w:rFonts w:hint="default" w:ascii="Times New Roman" w:hAnsi="Times New Roman" w:eastAsia="方正仿宋简体" w:cs="Times New Roman"/>
          <w:b w:val="0"/>
          <w:bCs w:val="0"/>
          <w:i w:val="0"/>
          <w:caps w:val="0"/>
          <w:color w:val="auto"/>
          <w:spacing w:val="0"/>
          <w:sz w:val="30"/>
          <w:szCs w:val="30"/>
          <w:shd w:val="clear" w:color="auto" w:fill="FFFFFF"/>
          <w:lang w:eastAsia="zh-CN"/>
        </w:rPr>
        <w:t>、</w:t>
      </w:r>
      <w:r>
        <w:rPr>
          <w:rFonts w:hint="default" w:ascii="Times New Roman" w:hAnsi="Times New Roman" w:eastAsia="方正仿宋简体" w:cs="Times New Roman"/>
          <w:b w:val="0"/>
          <w:bCs w:val="0"/>
          <w:color w:val="auto"/>
          <w:kern w:val="2"/>
          <w:sz w:val="28"/>
          <w:szCs w:val="28"/>
          <w:lang w:val="en-US" w:eastAsia="zh-CN" w:bidi="ar-SA"/>
        </w:rPr>
        <w:t>关于健全基层社区应急组织体系，提升一线应急处置能力的建议，关于进一步推进我区全国安全发展示范城市创建工作的建议、</w:t>
      </w:r>
      <w:r>
        <w:rPr>
          <w:rFonts w:hint="default" w:ascii="Times New Roman" w:hAnsi="Times New Roman" w:eastAsia="方正仿宋简体" w:cs="Times New Roman"/>
          <w:b w:val="0"/>
          <w:bCs w:val="0"/>
          <w:color w:val="auto"/>
          <w:sz w:val="28"/>
          <w:szCs w:val="28"/>
          <w:lang w:val="en-US" w:eastAsia="zh-CN"/>
        </w:rPr>
        <w:t>关于构筑安全生产防线，推动基层安全监管体质创新的建议</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我局已全部做出答复，</w:t>
      </w:r>
      <w:r>
        <w:rPr>
          <w:rFonts w:hint="default"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rPr>
        <w:t>名政协委员表示满意。</w:t>
      </w:r>
    </w:p>
    <w:p>
      <w:pPr>
        <w:spacing w:line="560" w:lineRule="exact"/>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二</w:t>
      </w:r>
      <w:r>
        <w:rPr>
          <w:rFonts w:hint="default" w:ascii="Times New Roman" w:hAnsi="Times New Roman" w:eastAsia="方正仿宋简体" w:cs="Times New Roman"/>
          <w:b/>
          <w:color w:val="auto"/>
          <w:sz w:val="30"/>
          <w:szCs w:val="30"/>
          <w:lang w:eastAsia="zh-CN"/>
        </w:rPr>
        <w:t>、</w:t>
      </w:r>
      <w:r>
        <w:rPr>
          <w:rFonts w:hint="default" w:ascii="Times New Roman" w:hAnsi="Times New Roman" w:eastAsia="方正仿宋简体" w:cs="Times New Roman"/>
          <w:b/>
          <w:color w:val="auto"/>
          <w:sz w:val="30"/>
          <w:szCs w:val="30"/>
        </w:rPr>
        <w:t>主动公开政府信息情况</w:t>
      </w:r>
    </w:p>
    <w:tbl>
      <w:tblPr>
        <w:tblStyle w:val="6"/>
        <w:tblW w:w="97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9745" w:type="dxa"/>
            <w:gridSpan w:val="4"/>
            <w:shd w:val="clear" w:color="auto" w:fill="C6D9F1"/>
            <w:vAlign w:val="top"/>
          </w:tcPr>
          <w:p>
            <w:pPr>
              <w:spacing w:before="212" w:line="185" w:lineRule="auto"/>
              <w:ind w:firstLine="3613"/>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top"/>
          </w:tcPr>
          <w:p>
            <w:pPr>
              <w:spacing w:before="201"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top"/>
          </w:tcPr>
          <w:p>
            <w:pPr>
              <w:spacing w:before="201" w:line="185" w:lineRule="auto"/>
              <w:ind w:firstLine="378"/>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top"/>
          </w:tcPr>
          <w:p>
            <w:pPr>
              <w:spacing w:before="201" w:line="185" w:lineRule="auto"/>
              <w:ind w:firstLine="379"/>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top"/>
          </w:tcPr>
          <w:p>
            <w:pPr>
              <w:spacing w:before="201" w:line="185" w:lineRule="auto"/>
              <w:ind w:firstLine="386"/>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2440" w:type="dxa"/>
            <w:vAlign w:val="top"/>
          </w:tcPr>
          <w:p>
            <w:pPr>
              <w:spacing w:before="200" w:line="185" w:lineRule="auto"/>
              <w:ind w:firstLine="943"/>
              <w:rPr>
                <w:rFonts w:ascii="宋体" w:hAnsi="宋体" w:eastAsia="宋体" w:cs="宋体"/>
                <w:sz w:val="28"/>
                <w:szCs w:val="28"/>
              </w:rPr>
            </w:pPr>
            <w:r>
              <w:rPr>
                <w:rFonts w:ascii="宋体" w:hAnsi="宋体" w:eastAsia="宋体" w:cs="宋体"/>
                <w:spacing w:val="-3"/>
                <w:sz w:val="28"/>
                <w:szCs w:val="28"/>
              </w:rPr>
              <w:t>规章</w:t>
            </w:r>
          </w:p>
        </w:tc>
        <w:tc>
          <w:tcPr>
            <w:tcW w:w="2433"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2430"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2442"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top"/>
          </w:tcPr>
          <w:p>
            <w:pPr>
              <w:spacing w:before="201" w:line="185" w:lineRule="auto"/>
              <w:ind w:firstLine="245"/>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2430"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2442"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9745" w:type="dxa"/>
            <w:gridSpan w:val="4"/>
            <w:shd w:val="clear" w:color="auto" w:fill="C6D9F1"/>
            <w:vAlign w:val="top"/>
          </w:tcPr>
          <w:p>
            <w:pPr>
              <w:spacing w:before="205" w:line="185" w:lineRule="auto"/>
              <w:ind w:firstLine="3613"/>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2440" w:type="dxa"/>
            <w:vAlign w:val="top"/>
          </w:tcPr>
          <w:p>
            <w:pPr>
              <w:spacing w:before="204"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4"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top"/>
          </w:tcPr>
          <w:p>
            <w:pPr>
              <w:spacing w:before="206" w:line="185" w:lineRule="auto"/>
              <w:ind w:firstLine="665"/>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top"/>
          </w:tcPr>
          <w:p>
            <w:pPr>
              <w:jc w:val="center"/>
              <w:rPr>
                <w:rFonts w:hint="eastAsia" w:ascii="宋体" w:eastAsiaTheme="minorEastAsia"/>
                <w:sz w:val="21"/>
                <w:lang w:val="en-US" w:eastAsia="zh-CN"/>
              </w:rPr>
            </w:pPr>
            <w:r>
              <w:rPr>
                <w:rFonts w:hint="eastAsia" w:ascii="宋体"/>
                <w:sz w:val="28"/>
                <w:szCs w:val="28"/>
                <w:lang w:val="en-US" w:eastAsia="zh-CN"/>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9745" w:type="dxa"/>
            <w:gridSpan w:val="4"/>
            <w:shd w:val="clear" w:color="auto" w:fill="C6D9F1"/>
            <w:vAlign w:val="top"/>
          </w:tcPr>
          <w:p>
            <w:pPr>
              <w:spacing w:before="209" w:line="185" w:lineRule="auto"/>
              <w:ind w:firstLine="3613"/>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top"/>
          </w:tcPr>
          <w:p>
            <w:pPr>
              <w:spacing w:before="209"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9"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top"/>
          </w:tcPr>
          <w:p>
            <w:pPr>
              <w:spacing w:before="211" w:line="185" w:lineRule="auto"/>
              <w:ind w:firstLine="665"/>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top"/>
          </w:tcPr>
          <w:p>
            <w:pPr>
              <w:spacing w:before="214" w:line="185" w:lineRule="auto"/>
              <w:ind w:firstLine="665"/>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9745" w:type="dxa"/>
            <w:gridSpan w:val="4"/>
            <w:shd w:val="clear" w:color="auto" w:fill="C6D9F1"/>
            <w:vAlign w:val="top"/>
          </w:tcPr>
          <w:p>
            <w:pPr>
              <w:spacing w:before="214" w:line="185" w:lineRule="auto"/>
              <w:ind w:firstLine="3613"/>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2440" w:type="dxa"/>
            <w:vAlign w:val="top"/>
          </w:tcPr>
          <w:p>
            <w:pPr>
              <w:spacing w:before="215"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15" w:line="185" w:lineRule="auto"/>
              <w:ind w:firstLine="1834"/>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2440" w:type="dxa"/>
            <w:vAlign w:val="top"/>
          </w:tcPr>
          <w:p>
            <w:pPr>
              <w:spacing w:before="218" w:line="185" w:lineRule="auto"/>
              <w:ind w:firstLine="245"/>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top"/>
          </w:tcPr>
          <w:p>
            <w:pPr>
              <w:jc w:val="center"/>
              <w:rPr>
                <w:rFonts w:hint="eastAsia" w:ascii="宋体" w:eastAsiaTheme="minorEastAsia"/>
                <w:sz w:val="21"/>
                <w:lang w:val="en-US" w:eastAsia="zh-CN"/>
              </w:rPr>
            </w:pPr>
            <w:r>
              <w:rPr>
                <w:rFonts w:hint="eastAsia" w:ascii="宋体"/>
                <w:sz w:val="28"/>
                <w:szCs w:val="28"/>
                <w:lang w:val="en-US" w:eastAsia="zh-CN"/>
              </w:rPr>
              <w:t>0</w:t>
            </w:r>
          </w:p>
        </w:tc>
      </w:tr>
    </w:tbl>
    <w:p>
      <w:pPr>
        <w:numPr>
          <w:ilvl w:val="0"/>
          <w:numId w:val="1"/>
        </w:numPr>
        <w:spacing w:line="560" w:lineRule="exact"/>
        <w:ind w:left="0" w:leftChars="0" w:firstLine="0" w:firstLineChars="0"/>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收到和处理政府信息公开申请情况</w:t>
      </w:r>
    </w:p>
    <w:tbl>
      <w:tblPr>
        <w:tblStyle w:val="6"/>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4950" w:type="dxa"/>
            <w:gridSpan w:val="3"/>
            <w:vMerge w:val="restart"/>
            <w:tcBorders>
              <w:bottom w:val="nil"/>
            </w:tcBorders>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78" w:line="430" w:lineRule="auto"/>
              <w:ind w:left="110" w:right="101" w:firstLine="17"/>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top"/>
          </w:tcPr>
          <w:p>
            <w:pPr>
              <w:spacing w:before="248" w:line="185" w:lineRule="auto"/>
              <w:ind w:firstLine="1830"/>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4950" w:type="dxa"/>
            <w:gridSpan w:val="3"/>
            <w:vMerge w:val="continue"/>
            <w:tcBorders>
              <w:top w:val="nil"/>
              <w:bottom w:val="nil"/>
            </w:tcBorders>
            <w:vAlign w:val="top"/>
          </w:tcPr>
          <w:p>
            <w:pPr>
              <w:rPr>
                <w:rFonts w:ascii="宋体"/>
                <w:sz w:val="21"/>
              </w:rPr>
            </w:pPr>
          </w:p>
        </w:tc>
        <w:tc>
          <w:tcPr>
            <w:tcW w:w="685" w:type="dxa"/>
            <w:vMerge w:val="restart"/>
            <w:tcBorders>
              <w:bottom w:val="nil"/>
            </w:tcBorders>
            <w:vAlign w:val="top"/>
          </w:tcPr>
          <w:p>
            <w:pPr>
              <w:spacing w:line="320" w:lineRule="auto"/>
              <w:rPr>
                <w:rFonts w:ascii="宋体"/>
                <w:sz w:val="21"/>
              </w:rPr>
            </w:pPr>
          </w:p>
          <w:p>
            <w:pPr>
              <w:spacing w:line="320" w:lineRule="auto"/>
              <w:rPr>
                <w:rFonts w:ascii="宋体"/>
                <w:sz w:val="21"/>
              </w:rPr>
            </w:pPr>
          </w:p>
          <w:p>
            <w:pPr>
              <w:spacing w:before="78" w:line="430" w:lineRule="auto"/>
              <w:ind w:left="223" w:right="96" w:hanging="82"/>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pacing w:val="4"/>
                <w:sz w:val="24"/>
                <w:szCs w:val="24"/>
              </w:rPr>
              <w:t xml:space="preserve"> </w:t>
            </w:r>
            <w:r>
              <w:rPr>
                <w:rFonts w:ascii="宋体" w:hAnsi="宋体" w:eastAsia="宋体" w:cs="宋体"/>
                <w:sz w:val="24"/>
                <w:szCs w:val="24"/>
              </w:rPr>
              <w:t>人</w:t>
            </w:r>
          </w:p>
        </w:tc>
        <w:tc>
          <w:tcPr>
            <w:tcW w:w="3425" w:type="dxa"/>
            <w:gridSpan w:val="5"/>
            <w:vAlign w:val="top"/>
          </w:tcPr>
          <w:p>
            <w:pPr>
              <w:spacing w:before="234" w:line="185" w:lineRule="auto"/>
              <w:ind w:firstLine="877"/>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top"/>
          </w:tcPr>
          <w:p>
            <w:pPr>
              <w:spacing w:line="295" w:lineRule="auto"/>
              <w:rPr>
                <w:rFonts w:ascii="宋体"/>
                <w:sz w:val="21"/>
              </w:rPr>
            </w:pPr>
          </w:p>
          <w:p>
            <w:pPr>
              <w:spacing w:line="295" w:lineRule="auto"/>
              <w:rPr>
                <w:rFonts w:ascii="宋体"/>
                <w:sz w:val="21"/>
              </w:rPr>
            </w:pPr>
          </w:p>
          <w:p>
            <w:pPr>
              <w:spacing w:line="296" w:lineRule="auto"/>
              <w:rPr>
                <w:rFonts w:ascii="宋体"/>
                <w:sz w:val="21"/>
              </w:rPr>
            </w:pPr>
          </w:p>
          <w:p>
            <w:pPr>
              <w:spacing w:before="78" w:line="185" w:lineRule="auto"/>
              <w:ind w:firstLine="116"/>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jc w:val="center"/>
        </w:trPr>
        <w:tc>
          <w:tcPr>
            <w:tcW w:w="4950" w:type="dxa"/>
            <w:gridSpan w:val="3"/>
            <w:vMerge w:val="continue"/>
            <w:tcBorders>
              <w:top w:val="nil"/>
            </w:tcBorders>
            <w:vAlign w:val="top"/>
          </w:tcPr>
          <w:p>
            <w:pPr>
              <w:rPr>
                <w:rFonts w:ascii="宋体"/>
                <w:sz w:val="21"/>
              </w:rPr>
            </w:pPr>
          </w:p>
        </w:tc>
        <w:tc>
          <w:tcPr>
            <w:tcW w:w="685" w:type="dxa"/>
            <w:vMerge w:val="continue"/>
            <w:tcBorders>
              <w:top w:val="nil"/>
            </w:tcBorders>
            <w:vAlign w:val="top"/>
          </w:tcPr>
          <w:p>
            <w:pPr>
              <w:rPr>
                <w:rFonts w:ascii="宋体"/>
                <w:sz w:val="21"/>
              </w:rPr>
            </w:pPr>
          </w:p>
        </w:tc>
        <w:tc>
          <w:tcPr>
            <w:tcW w:w="683" w:type="dxa"/>
            <w:vAlign w:val="top"/>
          </w:tcPr>
          <w:p>
            <w:pPr>
              <w:spacing w:line="387" w:lineRule="auto"/>
              <w:rPr>
                <w:rFonts w:ascii="宋体"/>
                <w:sz w:val="21"/>
              </w:rPr>
            </w:pPr>
          </w:p>
          <w:p>
            <w:pPr>
              <w:spacing w:before="78" w:line="430" w:lineRule="auto"/>
              <w:ind w:left="107" w:right="93"/>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top"/>
          </w:tcPr>
          <w:p>
            <w:pPr>
              <w:spacing w:line="387" w:lineRule="auto"/>
              <w:rPr>
                <w:rFonts w:ascii="宋体"/>
                <w:sz w:val="21"/>
              </w:rPr>
            </w:pPr>
          </w:p>
          <w:p>
            <w:pPr>
              <w:spacing w:before="78" w:line="430" w:lineRule="auto"/>
              <w:ind w:left="106" w:right="92"/>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top"/>
          </w:tcPr>
          <w:p>
            <w:pPr>
              <w:spacing w:before="238" w:line="431" w:lineRule="auto"/>
              <w:ind w:left="115" w:right="91" w:hanging="5"/>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spacing w:line="204" w:lineRule="auto"/>
              <w:ind w:firstLine="111"/>
              <w:rPr>
                <w:rFonts w:ascii="宋体" w:hAnsi="宋体" w:eastAsia="宋体" w:cs="宋体"/>
                <w:sz w:val="24"/>
                <w:szCs w:val="24"/>
              </w:rPr>
            </w:pPr>
            <w:r>
              <w:rPr>
                <w:rFonts w:ascii="宋体" w:hAnsi="宋体" w:eastAsia="宋体" w:cs="宋体"/>
                <w:spacing w:val="-4"/>
                <w:sz w:val="24"/>
                <w:szCs w:val="24"/>
              </w:rPr>
              <w:t>组织</w:t>
            </w:r>
          </w:p>
        </w:tc>
        <w:tc>
          <w:tcPr>
            <w:tcW w:w="685" w:type="dxa"/>
            <w:vAlign w:val="top"/>
          </w:tcPr>
          <w:p>
            <w:pPr>
              <w:spacing w:before="238" w:line="431" w:lineRule="auto"/>
              <w:ind w:left="109" w:right="89"/>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spacing w:line="204" w:lineRule="auto"/>
              <w:ind w:firstLine="108"/>
              <w:rPr>
                <w:rFonts w:ascii="宋体" w:hAnsi="宋体" w:eastAsia="宋体" w:cs="宋体"/>
                <w:sz w:val="24"/>
                <w:szCs w:val="24"/>
              </w:rPr>
            </w:pPr>
            <w:r>
              <w:rPr>
                <w:rFonts w:ascii="宋体" w:hAnsi="宋体" w:eastAsia="宋体" w:cs="宋体"/>
                <w:spacing w:val="-3"/>
                <w:sz w:val="24"/>
                <w:szCs w:val="24"/>
              </w:rPr>
              <w:t>机构</w:t>
            </w:r>
          </w:p>
        </w:tc>
        <w:tc>
          <w:tcPr>
            <w:tcW w:w="686" w:type="dxa"/>
            <w:vAlign w:val="top"/>
          </w:tcPr>
          <w:p>
            <w:pPr>
              <w:spacing w:line="315" w:lineRule="auto"/>
              <w:rPr>
                <w:rFonts w:ascii="宋体"/>
                <w:sz w:val="21"/>
              </w:rPr>
            </w:pPr>
          </w:p>
          <w:p>
            <w:pPr>
              <w:spacing w:line="316" w:lineRule="auto"/>
              <w:rPr>
                <w:rFonts w:ascii="宋体"/>
                <w:sz w:val="21"/>
              </w:rPr>
            </w:pPr>
          </w:p>
          <w:p>
            <w:pPr>
              <w:spacing w:before="78" w:line="185" w:lineRule="auto"/>
              <w:ind w:firstLine="109"/>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4950" w:type="dxa"/>
            <w:gridSpan w:val="3"/>
            <w:vAlign w:val="top"/>
          </w:tcPr>
          <w:p>
            <w:pPr>
              <w:spacing w:before="231" w:line="185" w:lineRule="auto"/>
              <w:ind w:firstLine="63"/>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3"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6"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6"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9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950" w:type="dxa"/>
            <w:gridSpan w:val="3"/>
            <w:vAlign w:val="top"/>
          </w:tcPr>
          <w:p>
            <w:pPr>
              <w:spacing w:before="234" w:line="185" w:lineRule="auto"/>
              <w:ind w:firstLine="63"/>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3"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6"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86"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c>
          <w:tcPr>
            <w:tcW w:w="695" w:type="dxa"/>
            <w:vAlign w:val="top"/>
          </w:tcPr>
          <w:p>
            <w:pPr>
              <w:jc w:val="center"/>
              <w:rPr>
                <w:rFonts w:hint="eastAsia" w:ascii="宋体" w:eastAsiaTheme="minorEastAsia"/>
                <w:sz w:val="28"/>
                <w:szCs w:val="28"/>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786"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78" w:line="431" w:lineRule="auto"/>
              <w:ind w:left="59" w:right="55"/>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top"/>
          </w:tcPr>
          <w:p>
            <w:pPr>
              <w:spacing w:before="239" w:line="185" w:lineRule="auto"/>
              <w:ind w:firstLine="57"/>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786" w:type="dxa"/>
            <w:vMerge w:val="continue"/>
            <w:tcBorders>
              <w:top w:val="nil"/>
              <w:bottom w:val="nil"/>
            </w:tcBorders>
            <w:vAlign w:val="top"/>
          </w:tcPr>
          <w:p>
            <w:pPr>
              <w:rPr>
                <w:rFonts w:ascii="宋体"/>
                <w:sz w:val="21"/>
              </w:rPr>
            </w:pPr>
          </w:p>
        </w:tc>
        <w:tc>
          <w:tcPr>
            <w:tcW w:w="4164" w:type="dxa"/>
            <w:gridSpan w:val="2"/>
            <w:vAlign w:val="top"/>
          </w:tcPr>
          <w:p>
            <w:pPr>
              <w:spacing w:before="240" w:line="561" w:lineRule="exact"/>
              <w:ind w:firstLine="57"/>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spacing w:line="204" w:lineRule="auto"/>
              <w:ind w:firstLine="55"/>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78" w:line="432" w:lineRule="auto"/>
              <w:ind w:left="57" w:right="57"/>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top"/>
          </w:tcPr>
          <w:p>
            <w:pPr>
              <w:spacing w:before="241" w:line="185" w:lineRule="auto"/>
              <w:ind w:firstLine="70"/>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559" w:lineRule="exact"/>
              <w:ind w:firstLine="55"/>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spacing w:line="204" w:lineRule="auto"/>
              <w:ind w:firstLine="53"/>
              <w:rPr>
                <w:rFonts w:ascii="宋体" w:hAnsi="宋体" w:eastAsia="宋体" w:cs="宋体"/>
                <w:sz w:val="24"/>
                <w:szCs w:val="24"/>
              </w:rPr>
            </w:pPr>
            <w:r>
              <w:rPr>
                <w:rFonts w:ascii="宋体" w:hAnsi="宋体" w:eastAsia="宋体" w:cs="宋体"/>
                <w:sz w:val="24"/>
                <w:szCs w:val="24"/>
              </w:rPr>
              <w:t>开</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185" w:lineRule="auto"/>
              <w:ind w:firstLine="57"/>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8" w:line="185" w:lineRule="auto"/>
              <w:ind w:firstLine="51"/>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9" w:line="185" w:lineRule="auto"/>
              <w:ind w:firstLine="57"/>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2" w:line="185" w:lineRule="auto"/>
              <w:ind w:firstLine="54"/>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6" w:line="185" w:lineRule="auto"/>
              <w:ind w:firstLine="58"/>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56" w:line="185" w:lineRule="auto"/>
              <w:ind w:firstLine="53"/>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jc w:val="center"/>
        </w:trPr>
        <w:tc>
          <w:tcPr>
            <w:tcW w:w="786" w:type="dxa"/>
            <w:vMerge w:val="continue"/>
            <w:tcBorders>
              <w:top w:val="nil"/>
            </w:tcBorders>
            <w:vAlign w:val="top"/>
          </w:tcPr>
          <w:p>
            <w:pPr>
              <w:rPr>
                <w:rFonts w:ascii="宋体"/>
                <w:sz w:val="21"/>
              </w:rPr>
            </w:pPr>
          </w:p>
        </w:tc>
        <w:tc>
          <w:tcPr>
            <w:tcW w:w="1014" w:type="dxa"/>
            <w:vAlign w:val="top"/>
          </w:tcPr>
          <w:p>
            <w:pPr>
              <w:spacing w:before="256" w:line="559" w:lineRule="exact"/>
              <w:ind w:firstLine="57"/>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spacing w:line="204" w:lineRule="auto"/>
              <w:ind w:firstLine="52"/>
              <w:rPr>
                <w:rFonts w:ascii="宋体" w:hAnsi="宋体" w:eastAsia="宋体" w:cs="宋体"/>
                <w:sz w:val="24"/>
                <w:szCs w:val="24"/>
              </w:rPr>
            </w:pPr>
            <w:r>
              <w:rPr>
                <w:rFonts w:ascii="宋体" w:hAnsi="宋体" w:eastAsia="宋体" w:cs="宋体"/>
                <w:spacing w:val="-3"/>
                <w:sz w:val="24"/>
                <w:szCs w:val="24"/>
              </w:rPr>
              <w:t>法提供</w:t>
            </w:r>
          </w:p>
        </w:tc>
        <w:tc>
          <w:tcPr>
            <w:tcW w:w="3150" w:type="dxa"/>
            <w:vAlign w:val="top"/>
          </w:tcPr>
          <w:p>
            <w:pPr>
              <w:spacing w:before="256" w:line="559" w:lineRule="exact"/>
              <w:ind w:firstLine="70"/>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spacing w:line="204" w:lineRule="auto"/>
              <w:ind w:firstLine="62"/>
              <w:rPr>
                <w:rFonts w:ascii="宋体" w:hAnsi="宋体" w:eastAsia="宋体" w:cs="宋体"/>
                <w:sz w:val="24"/>
                <w:szCs w:val="24"/>
              </w:rPr>
            </w:pPr>
            <w:r>
              <w:rPr>
                <w:rFonts w:ascii="宋体" w:hAnsi="宋体" w:eastAsia="宋体" w:cs="宋体"/>
                <w:sz w:val="24"/>
                <w:szCs w:val="24"/>
              </w:rPr>
              <w:t>息</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bl>
    <w:tbl>
      <w:tblPr>
        <w:tblStyle w:val="6"/>
        <w:tblpPr w:leftFromText="180" w:rightFromText="180" w:vertAnchor="text" w:horzAnchor="page" w:tblpX="1086" w:tblpY="1471"/>
        <w:tblOverlap w:val="never"/>
        <w:tblW w:w="9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150"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top"/>
          </w:tcPr>
          <w:p>
            <w:pPr>
              <w:jc w:val="center"/>
              <w:rPr>
                <w:rFonts w:ascii="宋体"/>
                <w:sz w:val="21"/>
              </w:rPr>
            </w:pPr>
            <w:r>
              <w:rPr>
                <w:rFonts w:hint="eastAsia" w:ascii="宋体"/>
                <w:sz w:val="28"/>
                <w:szCs w:val="28"/>
                <w:lang w:val="en-US" w:eastAsia="zh-CN"/>
              </w:rPr>
              <w:t>0</w:t>
            </w:r>
          </w:p>
        </w:tc>
        <w:tc>
          <w:tcPr>
            <w:tcW w:w="683" w:type="dxa"/>
            <w:tcBorders>
              <w:top w:val="nil"/>
            </w:tcBorders>
            <w:vAlign w:val="top"/>
          </w:tcPr>
          <w:p>
            <w:pPr>
              <w:jc w:val="center"/>
              <w:rPr>
                <w:rFonts w:ascii="宋体"/>
                <w:sz w:val="21"/>
              </w:rPr>
            </w:pPr>
            <w:r>
              <w:rPr>
                <w:rFonts w:hint="eastAsia" w:ascii="宋体"/>
                <w:sz w:val="28"/>
                <w:szCs w:val="28"/>
                <w:lang w:val="en-US" w:eastAsia="zh-CN"/>
              </w:rPr>
              <w:t>0</w:t>
            </w:r>
          </w:p>
        </w:tc>
        <w:tc>
          <w:tcPr>
            <w:tcW w:w="686" w:type="dxa"/>
            <w:tcBorders>
              <w:top w:val="nil"/>
            </w:tcBorders>
            <w:vAlign w:val="top"/>
          </w:tcPr>
          <w:p>
            <w:pPr>
              <w:jc w:val="center"/>
              <w:rPr>
                <w:rFonts w:ascii="宋体"/>
                <w:sz w:val="21"/>
              </w:rPr>
            </w:pPr>
            <w:r>
              <w:rPr>
                <w:rFonts w:hint="eastAsia" w:ascii="宋体"/>
                <w:sz w:val="28"/>
                <w:szCs w:val="28"/>
                <w:lang w:val="en-US" w:eastAsia="zh-CN"/>
              </w:rPr>
              <w:t>0</w:t>
            </w:r>
          </w:p>
        </w:tc>
        <w:tc>
          <w:tcPr>
            <w:tcW w:w="685" w:type="dxa"/>
            <w:tcBorders>
              <w:top w:val="nil"/>
            </w:tcBorders>
            <w:vAlign w:val="top"/>
          </w:tcPr>
          <w:p>
            <w:pPr>
              <w:jc w:val="center"/>
              <w:rPr>
                <w:rFonts w:ascii="宋体"/>
                <w:sz w:val="21"/>
              </w:rPr>
            </w:pPr>
            <w:r>
              <w:rPr>
                <w:rFonts w:hint="eastAsia" w:ascii="宋体"/>
                <w:sz w:val="28"/>
                <w:szCs w:val="28"/>
                <w:lang w:val="en-US" w:eastAsia="zh-CN"/>
              </w:rPr>
              <w:t>0</w:t>
            </w:r>
          </w:p>
        </w:tc>
        <w:tc>
          <w:tcPr>
            <w:tcW w:w="685" w:type="dxa"/>
            <w:tcBorders>
              <w:top w:val="nil"/>
            </w:tcBorders>
            <w:vAlign w:val="top"/>
          </w:tcPr>
          <w:p>
            <w:pPr>
              <w:jc w:val="center"/>
              <w:rPr>
                <w:rFonts w:ascii="宋体"/>
                <w:sz w:val="21"/>
              </w:rPr>
            </w:pPr>
            <w:r>
              <w:rPr>
                <w:rFonts w:hint="eastAsia" w:ascii="宋体"/>
                <w:sz w:val="28"/>
                <w:szCs w:val="28"/>
                <w:lang w:val="en-US" w:eastAsia="zh-CN"/>
              </w:rPr>
              <w:t>0</w:t>
            </w:r>
          </w:p>
        </w:tc>
        <w:tc>
          <w:tcPr>
            <w:tcW w:w="686" w:type="dxa"/>
            <w:tcBorders>
              <w:top w:val="nil"/>
            </w:tcBorders>
            <w:vAlign w:val="top"/>
          </w:tcPr>
          <w:p>
            <w:pPr>
              <w:jc w:val="center"/>
              <w:rPr>
                <w:rFonts w:ascii="宋体"/>
                <w:sz w:val="21"/>
              </w:rPr>
            </w:pPr>
            <w:r>
              <w:rPr>
                <w:rFonts w:hint="eastAsia" w:ascii="宋体"/>
                <w:sz w:val="28"/>
                <w:szCs w:val="28"/>
                <w:lang w:val="en-US" w:eastAsia="zh-CN"/>
              </w:rPr>
              <w:t>0</w:t>
            </w:r>
          </w:p>
        </w:tc>
        <w:tc>
          <w:tcPr>
            <w:tcW w:w="695" w:type="dxa"/>
            <w:tcBorders>
              <w:top w:val="nil"/>
            </w:tcBorders>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5.要求行政机关确认或重新出具已获取信息</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pacing w:val="-7"/>
                <w:sz w:val="24"/>
                <w:szCs w:val="24"/>
              </w:rPr>
              <w:t>补正、行政机关不再处理其政</w:t>
            </w:r>
            <w:r>
              <w:rPr>
                <w:rFonts w:ascii="宋体" w:hAnsi="宋体" w:eastAsia="宋体" w:cs="宋体"/>
                <w:spacing w:val="-2"/>
                <w:sz w:val="24"/>
                <w:szCs w:val="24"/>
              </w:rPr>
              <w:t>府信息公开申请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pacing w:val="-7"/>
                <w:sz w:val="24"/>
                <w:szCs w:val="24"/>
              </w:rPr>
              <w:t>要求缴纳费用、行政机关不再</w:t>
            </w:r>
            <w:r>
              <w:rPr>
                <w:rFonts w:ascii="宋体" w:hAnsi="宋体" w:eastAsia="宋体" w:cs="宋体"/>
                <w:spacing w:val="-2"/>
                <w:sz w:val="24"/>
                <w:szCs w:val="24"/>
              </w:rPr>
              <w:t>处理其政府信息公开申请</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164"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950"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top"/>
          </w:tcPr>
          <w:p>
            <w:pPr>
              <w:jc w:val="center"/>
              <w:rPr>
                <w:rFonts w:ascii="宋体"/>
                <w:sz w:val="21"/>
              </w:rPr>
            </w:pPr>
            <w:r>
              <w:rPr>
                <w:rFonts w:hint="eastAsia" w:ascii="宋体"/>
                <w:sz w:val="28"/>
                <w:szCs w:val="28"/>
                <w:lang w:val="en-US" w:eastAsia="zh-CN"/>
              </w:rPr>
              <w:t>0</w:t>
            </w:r>
          </w:p>
        </w:tc>
        <w:tc>
          <w:tcPr>
            <w:tcW w:w="683"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5" w:type="dxa"/>
            <w:vAlign w:val="top"/>
          </w:tcPr>
          <w:p>
            <w:pPr>
              <w:jc w:val="center"/>
              <w:rPr>
                <w:rFonts w:ascii="宋体"/>
                <w:sz w:val="21"/>
              </w:rPr>
            </w:pPr>
            <w:r>
              <w:rPr>
                <w:rFonts w:hint="eastAsia" w:ascii="宋体"/>
                <w:sz w:val="28"/>
                <w:szCs w:val="28"/>
                <w:lang w:val="en-US" w:eastAsia="zh-CN"/>
              </w:rPr>
              <w:t>0</w:t>
            </w:r>
          </w:p>
        </w:tc>
        <w:tc>
          <w:tcPr>
            <w:tcW w:w="686" w:type="dxa"/>
            <w:vAlign w:val="top"/>
          </w:tcPr>
          <w:p>
            <w:pPr>
              <w:jc w:val="center"/>
              <w:rPr>
                <w:rFonts w:ascii="宋体"/>
                <w:sz w:val="21"/>
              </w:rPr>
            </w:pPr>
            <w:r>
              <w:rPr>
                <w:rFonts w:hint="eastAsia" w:ascii="宋体"/>
                <w:sz w:val="28"/>
                <w:szCs w:val="28"/>
                <w:lang w:val="en-US" w:eastAsia="zh-CN"/>
              </w:rPr>
              <w:t>0</w:t>
            </w:r>
          </w:p>
        </w:tc>
        <w:tc>
          <w:tcPr>
            <w:tcW w:w="695" w:type="dxa"/>
            <w:vAlign w:val="top"/>
          </w:tcPr>
          <w:p>
            <w:pPr>
              <w:jc w:val="center"/>
              <w:rPr>
                <w:rFonts w:ascii="宋体"/>
                <w:sz w:val="21"/>
              </w:rPr>
            </w:pPr>
            <w:r>
              <w:rPr>
                <w:rFonts w:hint="eastAsia" w:ascii="宋体"/>
                <w:sz w:val="28"/>
                <w:szCs w:val="28"/>
                <w:lang w:val="en-US" w:eastAsia="zh-CN"/>
              </w:rPr>
              <w:t>0</w:t>
            </w:r>
          </w:p>
        </w:tc>
      </w:tr>
    </w:tbl>
    <w:p>
      <w:pPr>
        <w:spacing w:line="560" w:lineRule="exact"/>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24"/>
                <w:szCs w:val="24"/>
              </w:rPr>
            </w:pPr>
          </w:p>
        </w:tc>
        <w:tc>
          <w:tcPr>
            <w:tcW w:w="604"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24"/>
                <w:szCs w:val="24"/>
              </w:rPr>
            </w:pPr>
          </w:p>
        </w:tc>
        <w:tc>
          <w:tcPr>
            <w:tcW w:w="658"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rPr>
              <w:t> </w:t>
            </w:r>
            <w:r>
              <w:rPr>
                <w:rFonts w:hint="default" w:ascii="Times New Roman" w:hAnsi="Times New Roman" w:eastAsia="宋体" w:cs="Times New Roman"/>
                <w:color w:val="auto"/>
                <w:sz w:val="20"/>
                <w:szCs w:val="20"/>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rPr>
              <w:t> </w:t>
            </w:r>
            <w:r>
              <w:rPr>
                <w:rFonts w:hint="default" w:ascii="Times New Roman" w:hAnsi="Times New Roman" w:eastAsia="宋体" w:cs="Times New Roman"/>
                <w:color w:val="auto"/>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rPr>
              <w:t> </w:t>
            </w:r>
            <w:r>
              <w:rPr>
                <w:rFonts w:hint="default" w:ascii="Times New Roman" w:hAnsi="Times New Roman" w:eastAsia="宋体" w:cs="Times New Roman"/>
                <w:color w:val="auto"/>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0"/>
                <w:szCs w:val="20"/>
              </w:rPr>
              <w:t> </w:t>
            </w:r>
            <w:r>
              <w:rPr>
                <w:rFonts w:hint="default" w:ascii="Times New Roman" w:hAnsi="Times New Roman" w:eastAsia="宋体" w:cs="Times New Roman"/>
                <w:color w:val="auto"/>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0"/>
                <w:szCs w:val="20"/>
                <w:lang w:val="en-US" w:eastAsia="zh-CN"/>
              </w:rPr>
              <w:t>0</w:t>
            </w:r>
            <w:r>
              <w:rPr>
                <w:rFonts w:hint="default" w:ascii="Times New Roman" w:hAnsi="Times New Roman" w:eastAsia="宋体" w:cs="Times New Roman"/>
                <w:color w:val="auto"/>
                <w:sz w:val="20"/>
                <w:szCs w:val="20"/>
              </w:rPr>
              <w:t> </w:t>
            </w:r>
          </w:p>
        </w:tc>
        <w:tc>
          <w:tcPr>
            <w:tcW w:w="606"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0</w:t>
            </w:r>
          </w:p>
        </w:tc>
      </w:tr>
    </w:tbl>
    <w:p>
      <w:pPr>
        <w:spacing w:line="560" w:lineRule="exact"/>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五、存在的主要问题及改进情况</w:t>
      </w: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开展政府信息公开过程中还存在的主要问题是由于政府信息公开制度是一项长期性工程，信息量大、繁、杂，我局还存在着发布信息质量不高，宣传渠道不广等问题。针对我局政府信息公开工作中存在的问题和困难，在今后的工作中，我们将继续根据区委、区政府的统一安排部署，认真查找并纠正问题，努力克服和解决困难，有序地推进我局政府信息公开工作的开展。一是充实和拓宽政府信息的公开内容与渠道，加大在微博、微信等平台上的宣传力度，发布群众最关心的安全生产监管信息动态，让外界进一步了解我区</w:t>
      </w:r>
      <w:r>
        <w:rPr>
          <w:rFonts w:hint="default" w:ascii="Times New Roman" w:hAnsi="Times New Roman" w:eastAsia="方正仿宋简体" w:cs="Times New Roman"/>
          <w:color w:val="auto"/>
          <w:sz w:val="32"/>
          <w:szCs w:val="32"/>
          <w:lang w:val="en-US" w:eastAsia="zh-CN"/>
        </w:rPr>
        <w:t>应急管理及安全生产</w:t>
      </w:r>
      <w:r>
        <w:rPr>
          <w:rFonts w:hint="default" w:ascii="Times New Roman" w:hAnsi="Times New Roman" w:eastAsia="方正仿宋简体" w:cs="Times New Roman"/>
          <w:color w:val="auto"/>
          <w:sz w:val="32"/>
          <w:szCs w:val="32"/>
        </w:rPr>
        <w:t xml:space="preserve">监管工作形势。二是多借鉴学习先进部门经验，提高信息公开质量，认真做好网上来信回复，对来访和来电群众更加热情，提高12345等网上咨询的回复及时性，增加群众满意度。三是进一步加大对信息公开工作人员的培训力度，积极参加区政府组织的信息公开工作培训，以更熟练的技能为群众服务。  </w:t>
      </w:r>
    </w:p>
    <w:p>
      <w:pPr>
        <w:spacing w:line="560" w:lineRule="exact"/>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六、其他需要报告的事项</w:t>
      </w:r>
    </w:p>
    <w:p>
      <w:pPr>
        <w:rPr>
          <w:rFonts w:hint="default" w:ascii="Times New Roman" w:hAnsi="Times New Roman" w:eastAsia="方正仿宋简体" w:cs="Times New Roman"/>
          <w:color w:val="auto"/>
          <w:sz w:val="32"/>
          <w:szCs w:val="32"/>
          <w:lang w:eastAsia="zh-CN"/>
        </w:rPr>
      </w:pPr>
      <w:bookmarkStart w:id="0" w:name="_GoBack"/>
      <w:r>
        <w:rPr>
          <w:rFonts w:hint="default" w:ascii="Times New Roman" w:hAnsi="Times New Roman" w:eastAsia="方正仿宋简体" w:cs="Times New Roman"/>
          <w:color w:val="auto"/>
          <w:sz w:val="32"/>
          <w:szCs w:val="32"/>
        </w:rPr>
        <w:t>截</w:t>
      </w:r>
      <w:bookmarkEnd w:id="0"/>
      <w:r>
        <w:rPr>
          <w:rFonts w:hint="default" w:ascii="Times New Roman" w:hAnsi="Times New Roman" w:eastAsia="方正仿宋简体" w:cs="Times New Roman"/>
          <w:color w:val="auto"/>
          <w:sz w:val="32"/>
          <w:szCs w:val="32"/>
        </w:rPr>
        <w:t>至目前，本机关未收取信息处理费。</w:t>
      </w:r>
    </w:p>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楷体">
    <w:altName w:val="宋体"/>
    <w:panose1 w:val="0201060900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7312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FBF94"/>
    <w:multiLevelType w:val="singleLevel"/>
    <w:tmpl w:val="F15FBF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7468"/>
    <w:rsid w:val="05522570"/>
    <w:rsid w:val="05977468"/>
    <w:rsid w:val="088C7F1F"/>
    <w:rsid w:val="11FF0A79"/>
    <w:rsid w:val="1F287B31"/>
    <w:rsid w:val="259137B5"/>
    <w:rsid w:val="25E36681"/>
    <w:rsid w:val="298118B0"/>
    <w:rsid w:val="329B7C0D"/>
    <w:rsid w:val="37DE5E2F"/>
    <w:rsid w:val="3CF466E8"/>
    <w:rsid w:val="4EAC00A7"/>
    <w:rsid w:val="59A178E8"/>
    <w:rsid w:val="61DB66C0"/>
    <w:rsid w:val="63EC556B"/>
    <w:rsid w:val="65793C42"/>
    <w:rsid w:val="6C380E3A"/>
    <w:rsid w:val="7EDC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题2"/>
    <w:basedOn w:val="1"/>
    <w:next w:val="1"/>
    <w:qFormat/>
    <w:uiPriority w:val="0"/>
    <w:pPr>
      <w:autoSpaceDE w:val="0"/>
      <w:autoSpaceDN w:val="0"/>
      <w:snapToGrid w:val="0"/>
      <w:spacing w:line="567" w:lineRule="atLeast"/>
      <w:jc w:val="center"/>
    </w:pPr>
    <w:rPr>
      <w:rFonts w:ascii="汉鼎简楷体" w:hAnsi="Book Antiqua" w:eastAsia="汉鼎简楷体"/>
      <w:sz w:val="32"/>
      <w:szCs w:val="2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1926</Words>
  <Characters>1950</Characters>
  <Lines>0</Lines>
  <Paragraphs>0</Paragraphs>
  <TotalTime>3</TotalTime>
  <ScaleCrop>false</ScaleCrop>
  <LinksUpToDate>false</LinksUpToDate>
  <CharactersWithSpaces>1988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2021-01-08T08:11:00Z</dcterms:created>
  <dc:creator>南南</dc:creator>
  <cp:lastModifiedBy>要开心</cp:lastModifiedBy>
  <dcterms:modified xsi:type="dcterms:W3CDTF">2022-01-30T08:25:33Z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245086406_cloud</vt:lpwstr>
  </property>
  <property fmtid="{D5CDD505-2E9C-101B-9397-08002B2CF9AE}" pid="4" name="ICV">
    <vt:lpwstr>8D6B0AC819514FDDB34C8A34617C97B3</vt:lpwstr>
  </property>
</Properties>
</file>