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栖霞区交通运输局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信息公开工作年度报告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年度，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栖霞区交通运输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局认真贯彻实施《中华人民共和国政府信息公开条例》和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区政务公开相关工作有关精神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，充分利用区政府门户网站，通过微信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公众号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等途径，积极做好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交通运输局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政府信息公开工作。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主动公开政府信息情况</w:t>
      </w:r>
    </w:p>
    <w:tbl>
      <w:tblPr>
        <w:tblStyle w:val="5"/>
        <w:tblW w:w="97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5" w:type="default"/>
          <w:pgSz w:w="11907" w:h="16839"/>
          <w:pgMar w:top="1431" w:right="1070" w:bottom="1471" w:left="1075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53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1"/>
          <w:sz w:val="30"/>
          <w:szCs w:val="30"/>
        </w:rPr>
        <w:t>三、收到和处理政府信息公开申请情况</w:t>
      </w:r>
    </w:p>
    <w:p>
      <w:pPr>
        <w:spacing w:line="68" w:lineRule="exact"/>
      </w:pPr>
    </w:p>
    <w:tbl>
      <w:tblPr>
        <w:tblStyle w:val="5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9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第一项加第二项之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7"/>
            <w:vAlign w:val="top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  <w:vAlign w:val="top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49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3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2"/>
            <w:vAlign w:val="top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</w:t>
            </w:r>
            <w:r>
              <w:rPr>
                <w:rFonts w:ascii="楷体" w:hAnsi="楷体" w:eastAsia="楷体" w:cs="楷体"/>
                <w:spacing w:val="52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  <w:vAlign w:val="top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  <w:vAlign w:val="top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6" w:type="default"/>
          <w:pgSz w:w="11907" w:h="16839"/>
          <w:pgMar w:top="1431" w:right="1065" w:bottom="1266" w:left="1070" w:header="0" w:footer="1072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5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tcBorders>
              <w:top w:val="nil"/>
            </w:tcBorders>
            <w:vAlign w:val="top"/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</w:tcBorders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150" w:type="dxa"/>
            <w:vAlign w:val="top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562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24"/>
                <w:sz w:val="24"/>
                <w:szCs w:val="24"/>
              </w:rPr>
              <w:t>5.要求行政机关确认或重新</w:t>
            </w:r>
          </w:p>
          <w:p>
            <w:pPr>
              <w:spacing w:line="204" w:lineRule="auto"/>
              <w:ind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出具已获取信息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  <w:vAlign w:val="top"/>
          </w:tcPr>
          <w:p>
            <w:pPr>
              <w:spacing w:before="249" w:line="431" w:lineRule="auto"/>
              <w:ind w:left="52" w:right="50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申请人无正当理由逾期不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补正、行政机关不再处理其政</w:t>
            </w:r>
          </w:p>
          <w:p>
            <w:pPr>
              <w:spacing w:line="204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1" w:line="430" w:lineRule="auto"/>
              <w:ind w:left="53" w:right="5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申请人逾期未按收费通知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要求缴纳费用、行政机关不再</w:t>
            </w:r>
          </w:p>
          <w:p>
            <w:pPr>
              <w:spacing w:line="204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宋体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7" w:type="default"/>
          <w:pgSz w:w="11907" w:h="16839"/>
          <w:pgMar w:top="1431" w:right="1065" w:bottom="1471" w:left="1070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spacing w:before="98" w:line="185" w:lineRule="auto"/>
        <w:ind w:firstLine="10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color w:val="333333"/>
          <w:spacing w:val="-2"/>
          <w:sz w:val="30"/>
          <w:szCs w:val="30"/>
        </w:rPr>
        <w:t>四、政府信息公开行政复议、行政诉讼情况</w:t>
      </w:r>
    </w:p>
    <w:p>
      <w:pPr>
        <w:spacing w:line="68" w:lineRule="exact"/>
      </w:pPr>
    </w:p>
    <w:tbl>
      <w:tblPr>
        <w:tblStyle w:val="5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255" w:type="dxa"/>
            <w:gridSpan w:val="5"/>
            <w:vAlign w:val="top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vAlign w:val="top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6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7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3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2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0" w:line="180" w:lineRule="auto"/>
              <w:ind w:firstLine="10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spacing w:before="237" w:line="185" w:lineRule="auto"/>
              <w:ind w:firstLine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vAlign w:val="top"/>
          </w:tcPr>
          <w:p>
            <w:pPr>
              <w:spacing w:before="237" w:line="185" w:lineRule="auto"/>
              <w:ind w:firstLine="10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200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8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  <w:vAlign w:val="top"/>
          </w:tcPr>
          <w:p>
            <w:pPr>
              <w:spacing w:before="196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6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4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spacing w:before="202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spacing w:line="266" w:lineRule="auto"/>
        <w:rPr>
          <w:rFonts w:ascii="宋体"/>
          <w:sz w:val="21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交通运输局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在政府信息公开方面主要存在以下问题：一是政府信息公开数量较少；二是信息公开的内容有待完善；三是信息公开的时效性有待加强。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改进措施：</w:t>
      </w:r>
      <w:r>
        <w:rPr>
          <w:rFonts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加强政府信息公开制度建设。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结合工作实际不断修订完善已有的工作制度，及时补充制定监督、考核、评议等工作制度，确保政府信息公开工作深入、持续、高效地开展。</w:t>
      </w: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二是进一步充实信息公开内容</w:t>
      </w: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突出重点、难点和热点问题。把群众最关心、反应最强烈的事项作为政府信息公开的主要内容，切实发挥好信息公开平台的桥梁作用。</w:t>
      </w:r>
      <w:r>
        <w:rPr>
          <w:rFonts w:hint="eastAsia" w:ascii="方正仿宋_GBK" w:hAnsi="方正仿宋_GBK" w:eastAsia="方正仿宋_GBK" w:cs="方正仿宋_GBK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三是强化落实，拓展公开内容。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牢牢把握“以公开为原则，不公开为例外”的原则，加强对群众关注度高的政府信息的梳理，不断完善丰富主动公开政府信息内容，做到及时清理、及时更新。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方正仿宋_GBK" w:hAnsi="方正仿宋_GBK" w:eastAsia="方正仿宋_GBK" w:cs="方正仿宋_GBK"/>
          <w:i w:val="0"/>
          <w:caps w:val="0"/>
          <w:snapToGrid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default" w:ascii="方正仿宋_GBK" w:hAnsi="方正仿宋_GBK" w:eastAsia="方正仿宋_GBK" w:cs="方正仿宋_GBK"/>
          <w:i w:val="0"/>
          <w:caps w:val="0"/>
          <w:snapToGrid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截至目前，本机关未收取信息处理费。</w:t>
      </w:r>
    </w:p>
    <w:bookmarkEnd w:id="0"/>
    <w:p>
      <w:pPr>
        <w:spacing w:before="258" w:line="185" w:lineRule="auto"/>
        <w:rPr>
          <w:rFonts w:ascii="宋体" w:hAnsi="宋体" w:eastAsia="宋体" w:cs="宋体"/>
          <w:sz w:val="30"/>
          <w:szCs w:val="30"/>
        </w:rPr>
      </w:pPr>
    </w:p>
    <w:sectPr>
      <w:footerReference r:id="rId8" w:type="default"/>
      <w:pgSz w:w="11907" w:h="16839"/>
      <w:pgMar w:top="1431" w:right="1065" w:bottom="1266" w:left="107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5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6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7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8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5B8511C"/>
    <w:rsid w:val="3B5F07B1"/>
    <w:rsid w:val="44C23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1334</Words>
  <Characters>1363</Characters>
  <TotalTime>1</TotalTime>
  <ScaleCrop>false</ScaleCrop>
  <LinksUpToDate>false</LinksUpToDate>
  <CharactersWithSpaces>1471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2022-01-12T10:56:00Z</dcterms:created>
  <dc:creator>荣荣</dc:creator>
  <cp:lastModifiedBy>要开心</cp:lastModifiedBy>
  <dcterms:modified xsi:type="dcterms:W3CDTF">2022-01-30T08:22:35Z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2022-01-21T11:32:47Z</vt:filetime>
  </property>
  <property fmtid="{D5CDD505-2E9C-101B-9397-08002B2CF9AE}" pid="4" name="KSOProductBuildVer">
    <vt:lpwstr>2052-11.1.0.11294</vt:lpwstr>
  </property>
  <property fmtid="{D5CDD505-2E9C-101B-9397-08002B2CF9AE}" pid="5" name="ICV">
    <vt:lpwstr>65693FBF4F12459481048AAE7D18FD10</vt:lpwstr>
  </property>
</Properties>
</file>