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2021年度南京市栖霞区民政局政府信息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，栖霞区民政局坚持以习近平新时代中国特色社会主义思想为指导，认真贯彻落实《中华人民共和国政府信息公开条例》及各级政府信息公开相关要求，紧扣民政工作重点任务，持续加强政府信息的编制、管理和公布工作。全年共计公开政府信息104条，依申请公开信息1条，无因政府信息公开发生的行政复议、行政诉讼案件。具体工作情况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严格审查环节，规范公开流程。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照“先审查、后公开，谁公开、谁审查，一事一审查”原则，全局各科室认真履行审查拟公开信息、维护和更新主动公开信息等职责。局办公室切实承担信息公开的日常协调工作，做好我局公文、行政给付等信息资料的归档管理，加强政府信息资源的规范化、标准化和信息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依法受理申请，依规严谨答复。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针对依申请公开件，我局按照《江苏省政府信息公开申请办理答复规范》（苏政办函〔2019〕98号），明确申请“补不补”、判断公开“该不该”、确认信息“有没有”、研判决定“给不给”、把握答复“当不当”，规范制定依申请公开处理文书，利用信息化管理平台予以申请人在线答复，方便群众获取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拓展公开渠道，回应群众关切。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我局聚焦民生热点领域，在区政府网站常态化公开社会救助及养老服务相关政策，公布各项资金发放情况。此外，利用“栖霞民政”微信公众号，全年发布民政各类动态信息共计390条。在清明节、“5.20”、新冠疫情等时间节点，通过“掌上云社区”平台公布“网上祭扫”、婚姻登记预约、疫情防控政策等群众关注信息，营造了良好舆论氛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主动公开政府信息情况</w:t>
      </w:r>
    </w:p>
    <w:tbl>
      <w:tblPr>
        <w:tblStyle w:val="4"/>
        <w:tblW w:w="974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433"/>
        <w:gridCol w:w="2430"/>
        <w:gridCol w:w="2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2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第二十条第（一）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2433" w:type="dxa"/>
            <w:vAlign w:val="top"/>
          </w:tcPr>
          <w:p>
            <w:pPr>
              <w:spacing w:before="201" w:line="185" w:lineRule="auto"/>
              <w:ind w:firstLine="3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本年制发件数</w:t>
            </w:r>
          </w:p>
        </w:tc>
        <w:tc>
          <w:tcPr>
            <w:tcW w:w="2430" w:type="dxa"/>
            <w:vAlign w:val="top"/>
          </w:tcPr>
          <w:p>
            <w:pPr>
              <w:spacing w:before="201" w:line="185" w:lineRule="auto"/>
              <w:ind w:firstLine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本年废止件数</w:t>
            </w:r>
          </w:p>
        </w:tc>
        <w:tc>
          <w:tcPr>
            <w:tcW w:w="2442" w:type="dxa"/>
            <w:vAlign w:val="top"/>
          </w:tcPr>
          <w:p>
            <w:pPr>
              <w:spacing w:before="201" w:line="185" w:lineRule="auto"/>
              <w:ind w:firstLine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0" w:line="185" w:lineRule="auto"/>
              <w:ind w:firstLine="9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规章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行政规范性文件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42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5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第二十条第（五）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4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4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6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9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第二十条第（六）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09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9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11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14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4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第二十条第（八）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15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15" w:line="185" w:lineRule="auto"/>
              <w:ind w:firstLine="18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2440" w:type="dxa"/>
            <w:vAlign w:val="top"/>
          </w:tcPr>
          <w:p>
            <w:pPr>
              <w:spacing w:before="218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收到和处理政府信息公开申请情况</w:t>
      </w:r>
    </w:p>
    <w:tbl>
      <w:tblPr>
        <w:tblStyle w:val="4"/>
        <w:tblW w:w="97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941"/>
        <w:gridCol w:w="3223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9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10" w:right="101" w:firstLine="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（本列数据的勾稽关系为：第一项加第二项之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和，等于第三项加第四项之和）</w:t>
            </w:r>
          </w:p>
        </w:tc>
        <w:tc>
          <w:tcPr>
            <w:tcW w:w="4805" w:type="dxa"/>
            <w:gridSpan w:val="7"/>
            <w:vAlign w:val="top"/>
          </w:tcPr>
          <w:p>
            <w:pPr>
              <w:spacing w:before="248" w:line="185" w:lineRule="auto"/>
              <w:ind w:firstLine="1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495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223" w:right="96" w:hanging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w w:val="99"/>
                <w:sz w:val="24"/>
                <w:szCs w:val="24"/>
              </w:rPr>
              <w:t>自然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3425" w:type="dxa"/>
            <w:gridSpan w:val="5"/>
            <w:vAlign w:val="top"/>
          </w:tcPr>
          <w:p>
            <w:pPr>
              <w:spacing w:before="234" w:line="185" w:lineRule="auto"/>
              <w:ind w:firstLine="8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49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3" w:type="dxa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7" w:righ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商业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企业</w:t>
            </w:r>
          </w:p>
        </w:tc>
        <w:tc>
          <w:tcPr>
            <w:tcW w:w="686" w:type="dxa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6" w:righ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科研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机构</w:t>
            </w:r>
          </w:p>
        </w:tc>
        <w:tc>
          <w:tcPr>
            <w:tcW w:w="685" w:type="dxa"/>
            <w:vAlign w:val="top"/>
          </w:tcPr>
          <w:p>
            <w:pPr>
              <w:spacing w:before="238" w:line="431" w:lineRule="auto"/>
              <w:ind w:left="115" w:right="9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公益</w:t>
            </w:r>
          </w:p>
          <w:p>
            <w:pPr>
              <w:spacing w:line="204" w:lineRule="auto"/>
              <w:ind w:firstLine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组织</w:t>
            </w:r>
          </w:p>
        </w:tc>
        <w:tc>
          <w:tcPr>
            <w:tcW w:w="685" w:type="dxa"/>
            <w:vAlign w:val="top"/>
          </w:tcPr>
          <w:p>
            <w:pPr>
              <w:spacing w:before="238" w:line="431" w:lineRule="auto"/>
              <w:ind w:left="109" w:righ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服务</w:t>
            </w:r>
          </w:p>
          <w:p>
            <w:pPr>
              <w:spacing w:line="204" w:lineRule="auto"/>
              <w:ind w:firstLine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机构</w:t>
            </w:r>
          </w:p>
        </w:tc>
        <w:tc>
          <w:tcPr>
            <w:tcW w:w="686" w:type="dxa"/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4950" w:type="dxa"/>
            <w:gridSpan w:val="3"/>
            <w:vAlign w:val="top"/>
          </w:tcPr>
          <w:p>
            <w:pPr>
              <w:spacing w:before="231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4950" w:type="dxa"/>
            <w:gridSpan w:val="3"/>
            <w:vAlign w:val="top"/>
          </w:tcPr>
          <w:p>
            <w:pPr>
              <w:spacing w:before="234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before="78" w:line="431" w:lineRule="auto"/>
              <w:ind w:left="59" w:righ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年度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办理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结果</w:t>
            </w:r>
          </w:p>
        </w:tc>
        <w:tc>
          <w:tcPr>
            <w:tcW w:w="4164" w:type="dxa"/>
            <w:gridSpan w:val="2"/>
            <w:vAlign w:val="top"/>
          </w:tcPr>
          <w:p>
            <w:pPr>
              <w:spacing w:before="23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（一）予以公开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2"/>
            <w:vAlign w:val="top"/>
          </w:tcPr>
          <w:p>
            <w:pPr>
              <w:spacing w:before="240" w:line="561" w:lineRule="exact"/>
              <w:ind w:firstLine="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（二）</w:t>
            </w:r>
            <w:r>
              <w:rPr>
                <w:rFonts w:ascii="宋体" w:hAnsi="宋体" w:eastAsia="宋体" w:cs="宋体"/>
                <w:spacing w:val="-9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部分公开</w:t>
            </w:r>
            <w:r>
              <w:rPr>
                <w:rFonts w:ascii="宋体" w:hAnsi="宋体" w:eastAsia="宋体" w:cs="宋体"/>
                <w:spacing w:val="-3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（区分处理的，只计这</w:t>
            </w:r>
          </w:p>
          <w:p>
            <w:pPr>
              <w:spacing w:line="204" w:lineRule="auto"/>
              <w:ind w:firstLine="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一情形，不计其他情形）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78" w:line="432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（三）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予公开</w:t>
            </w:r>
          </w:p>
        </w:tc>
        <w:tc>
          <w:tcPr>
            <w:tcW w:w="3223" w:type="dxa"/>
            <w:vAlign w:val="top"/>
          </w:tcPr>
          <w:p>
            <w:pPr>
              <w:spacing w:before="241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1.属于国家秘密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43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2.其他法律行政法规禁止公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43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3.危及“三安全一稳定”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48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4.保护第三方合法权益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4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5.属于三类内部事务信息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52" w:line="185" w:lineRule="auto"/>
              <w:ind w:firstLine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6.属于四类过程性信息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56" w:line="185" w:lineRule="auto"/>
              <w:ind w:firstLine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7.属于行政执法案卷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56" w:line="185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8.属于行政查询事项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  <w:jc w:val="center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restart"/>
            <w:vAlign w:val="center"/>
          </w:tcPr>
          <w:p>
            <w:pPr>
              <w:spacing w:before="256" w:line="559" w:lineRule="exact"/>
              <w:ind w:firstLine="5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（四）</w:t>
            </w:r>
            <w:r>
              <w:rPr>
                <w:rFonts w:ascii="宋体" w:hAnsi="宋体" w:eastAsia="宋体" w:cs="宋体"/>
                <w:spacing w:val="-6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无</w:t>
            </w:r>
          </w:p>
          <w:p>
            <w:pPr>
              <w:spacing w:line="204" w:lineRule="auto"/>
              <w:ind w:firstLine="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法提供</w:t>
            </w:r>
          </w:p>
        </w:tc>
        <w:tc>
          <w:tcPr>
            <w:tcW w:w="3223" w:type="dxa"/>
            <w:vAlign w:val="top"/>
          </w:tcPr>
          <w:p>
            <w:pPr>
              <w:spacing w:before="256" w:line="559" w:lineRule="exact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4"/>
                <w:sz w:val="24"/>
                <w:szCs w:val="24"/>
              </w:rPr>
              <w:t>1.本机关不掌握相关政府信</w:t>
            </w:r>
          </w:p>
          <w:p>
            <w:pPr>
              <w:spacing w:line="204" w:lineRule="auto"/>
              <w:ind w:firstLine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  <w:jc w:val="center"/>
        </w:trPr>
        <w:tc>
          <w:tcPr>
            <w:tcW w:w="78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tcBorders>
              <w:top w:val="nil"/>
            </w:tcBorders>
            <w:vAlign w:val="top"/>
          </w:tcPr>
          <w:p>
            <w:pPr>
              <w:spacing w:before="242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2.没有现成信息需要另行制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34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3.补正后申请内容仍不明确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before="79" w:line="430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（五）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予处理</w:t>
            </w:r>
          </w:p>
        </w:tc>
        <w:tc>
          <w:tcPr>
            <w:tcW w:w="3223" w:type="dxa"/>
            <w:vAlign w:val="top"/>
          </w:tcPr>
          <w:p>
            <w:pPr>
              <w:spacing w:before="238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1.信访举报投诉类申请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39" w:line="185" w:lineRule="auto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2.重复申请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4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3.要求提供公开出版物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47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4.无正当理由大量反复申请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2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48" w:line="562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position w:val="24"/>
                <w:sz w:val="24"/>
                <w:szCs w:val="24"/>
              </w:rPr>
              <w:t>5.要求行政机关确认或重新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出具已获取信息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51" w:right="57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（六）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他处理</w:t>
            </w:r>
          </w:p>
        </w:tc>
        <w:tc>
          <w:tcPr>
            <w:tcW w:w="3223" w:type="dxa"/>
            <w:vAlign w:val="top"/>
          </w:tcPr>
          <w:p>
            <w:pPr>
              <w:spacing w:before="249" w:line="431" w:lineRule="auto"/>
              <w:ind w:left="52" w:right="50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申请人无正当理由逾期不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补正、行政机关不再处理其政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府信息公开申请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51" w:line="430" w:lineRule="auto"/>
              <w:ind w:left="53" w:right="51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申请人逾期未按收费通知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要求缴纳费用、行政机关不再</w:t>
            </w:r>
          </w:p>
          <w:p>
            <w:pPr>
              <w:spacing w:line="204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处理其政府信息公开申请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9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223" w:type="dxa"/>
            <w:vAlign w:val="top"/>
          </w:tcPr>
          <w:p>
            <w:pPr>
              <w:spacing w:before="248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3.其他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2"/>
            <w:vAlign w:val="top"/>
          </w:tcPr>
          <w:p>
            <w:pPr>
              <w:spacing w:before="25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（七）总计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4950" w:type="dxa"/>
            <w:gridSpan w:val="3"/>
            <w:vAlign w:val="top"/>
          </w:tcPr>
          <w:p>
            <w:pPr>
              <w:spacing w:before="249" w:line="185" w:lineRule="auto"/>
              <w:ind w:firstLine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四、结转下年度继续办理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86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4"/>
        <w:tblW w:w="97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49"/>
        <w:gridCol w:w="647"/>
        <w:gridCol w:w="650"/>
        <w:gridCol w:w="649"/>
        <w:gridCol w:w="649"/>
        <w:gridCol w:w="648"/>
        <w:gridCol w:w="650"/>
        <w:gridCol w:w="649"/>
        <w:gridCol w:w="647"/>
        <w:gridCol w:w="650"/>
        <w:gridCol w:w="649"/>
        <w:gridCol w:w="649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3255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185" w:lineRule="auto"/>
              <w:ind w:firstLine="115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</w:rPr>
              <w:t>行政复议</w:t>
            </w:r>
          </w:p>
        </w:tc>
        <w:tc>
          <w:tcPr>
            <w:tcW w:w="6500" w:type="dxa"/>
            <w:gridSpan w:val="10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8" w:line="185" w:lineRule="auto"/>
              <w:ind w:firstLine="277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6" w:line="180" w:lineRule="auto"/>
              <w:ind w:firstLine="5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7" w:line="180" w:lineRule="auto"/>
              <w:ind w:firstLine="5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正</w:t>
            </w:r>
          </w:p>
        </w:tc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3" w:line="180" w:lineRule="auto"/>
              <w:ind w:firstLine="5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果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2" w:line="180" w:lineRule="auto"/>
              <w:ind w:firstLine="52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0" w:line="180" w:lineRule="auto"/>
              <w:ind w:firstLine="10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3243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7" w:line="185" w:lineRule="auto"/>
              <w:ind w:firstLine="66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</w:rPr>
              <w:t>未经复议直接起诉</w:t>
            </w:r>
          </w:p>
        </w:tc>
        <w:tc>
          <w:tcPr>
            <w:tcW w:w="3257" w:type="dxa"/>
            <w:gridSpan w:val="5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7" w:line="185" w:lineRule="auto"/>
              <w:ind w:firstLine="10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9" w:hRule="atLeast"/>
          <w:jc w:val="center"/>
        </w:trPr>
        <w:tc>
          <w:tcPr>
            <w:tcW w:w="6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宋体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0" w:line="180" w:lineRule="auto"/>
              <w:ind w:firstLine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持</w:t>
            </w:r>
          </w:p>
        </w:tc>
        <w:tc>
          <w:tcPr>
            <w:tcW w:w="648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180" w:lineRule="auto"/>
              <w:ind w:firstLine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正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180" w:lineRule="auto"/>
              <w:ind w:firstLine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果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9" w:line="180" w:lineRule="auto"/>
              <w:ind w:firstLine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结</w:t>
            </w:r>
          </w:p>
        </w:tc>
        <w:tc>
          <w:tcPr>
            <w:tcW w:w="647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180" w:lineRule="auto"/>
              <w:ind w:firstLine="8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180" w:lineRule="auto"/>
              <w:ind w:firstLine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持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4" w:line="180" w:lineRule="auto"/>
              <w:ind w:firstLine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正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0" w:lineRule="auto"/>
              <w:ind w:firstLine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果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2" w:line="180" w:lineRule="auto"/>
              <w:ind w:firstLine="2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结</w:t>
            </w:r>
          </w:p>
        </w:tc>
        <w:tc>
          <w:tcPr>
            <w:tcW w:w="659" w:type="dxa"/>
            <w:textDirection w:val="tbRlV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02" w:line="180" w:lineRule="auto"/>
              <w:ind w:firstLine="8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1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66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8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2021年，我局信息公开工作顺利完成，但根据区政府办督促检查，偶有发现信息更新频率较低，个别语言表述不规范问题。对此，我局将进一步组织全体人员学习培训，完善相关工作制度，制定奖惩措施，压实工作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结合工作实际，本年度关停了“栖霞民政”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微博账号。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截至目前，本机关未收取信息处理费。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2129ED"/>
    <w:multiLevelType w:val="singleLevel"/>
    <w:tmpl w:val="872129E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22B1E"/>
    <w:rsid w:val="0DD36BC1"/>
    <w:rsid w:val="11C013FC"/>
    <w:rsid w:val="1257607E"/>
    <w:rsid w:val="141C0B10"/>
    <w:rsid w:val="17FC21BA"/>
    <w:rsid w:val="3B722B1E"/>
    <w:rsid w:val="42623676"/>
    <w:rsid w:val="49EE327C"/>
    <w:rsid w:val="5EF16BE3"/>
    <w:rsid w:val="65B3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2022-01-17T02:31:00Z</dcterms:created>
  <dc:creator>Shadow</dc:creator>
  <cp:lastModifiedBy>要开心</cp:lastModifiedBy>
  <dcterms:modified xsi:type="dcterms:W3CDTF">2022-01-30T07:25:48Z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B944BF084F16471188F5D4F284344BE4</vt:lpwstr>
  </property>
</Properties>
</file>