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方正小标宋_GBK" w:hAnsi="Times New Roman" w:eastAsia="方正小标宋_GBK" w:cs="Times New Roman"/>
          <w:sz w:val="44"/>
          <w:szCs w:val="44"/>
          <w:lang w:val="en-US" w:eastAsia="zh-CN"/>
        </w:rPr>
      </w:pPr>
      <w:bookmarkStart w:id="0" w:name="_GoBack"/>
      <w:r>
        <w:rPr>
          <w:rFonts w:hint="eastAsia" w:ascii="方正小标宋_GBK" w:hAnsi="Times New Roman" w:eastAsia="方正小标宋_GBK" w:cs="Times New Roman"/>
          <w:sz w:val="44"/>
          <w:szCs w:val="44"/>
          <w:lang w:val="en-US" w:eastAsia="zh-CN"/>
        </w:rPr>
        <w:t>南京市秦淮区发展和改革委员会2023年</w:t>
      </w:r>
    </w:p>
    <w:p>
      <w:pPr>
        <w:spacing w:line="56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政府信息公开工作年度报告</w:t>
      </w:r>
    </w:p>
    <w:bookmarkEnd w:id="0"/>
    <w:p>
      <w:pPr>
        <w:widowControl/>
        <w:shd w:val="clear" w:color="auto" w:fill="FFFFFF"/>
        <w:jc w:val="center"/>
        <w:rPr>
          <w:rFonts w:ascii="宋体" w:hAnsi="宋体" w:cs="宋体"/>
          <w:color w:val="333333"/>
          <w:kern w:val="0"/>
          <w:sz w:val="30"/>
          <w:szCs w:val="30"/>
        </w:rPr>
      </w:pPr>
    </w:p>
    <w:p>
      <w:pPr>
        <w:widowControl/>
        <w:shd w:val="clear" w:color="auto" w:fill="FFFFFF"/>
        <w:ind w:firstLine="672" w:firstLineChars="210"/>
        <w:rPr>
          <w:rFonts w:ascii="方正黑体_GBK" w:hAnsi="宋体" w:eastAsia="方正黑体_GBK" w:cs="宋体"/>
          <w:color w:val="333333"/>
          <w:kern w:val="0"/>
          <w:sz w:val="32"/>
          <w:szCs w:val="32"/>
        </w:rPr>
      </w:pPr>
      <w:r>
        <w:rPr>
          <w:rFonts w:hint="eastAsia" w:ascii="方正黑体_GBK" w:hAnsi="宋体" w:eastAsia="方正黑体_GBK" w:cs="宋体"/>
          <w:bCs/>
          <w:color w:val="333333"/>
          <w:kern w:val="0"/>
          <w:sz w:val="32"/>
          <w:szCs w:val="32"/>
        </w:rPr>
        <w:t>一、总体情况</w:t>
      </w:r>
    </w:p>
    <w:p>
      <w:pPr>
        <w:widowControl/>
        <w:shd w:val="clear" w:color="auto" w:fill="FFFFFF"/>
        <w:ind w:firstLine="672" w:firstLineChars="21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202</w:t>
      </w:r>
      <w:r>
        <w:rPr>
          <w:rFonts w:hint="eastAsia" w:ascii="Times New Roman" w:hAnsi="Times New Roman" w:eastAsia="方正仿宋_GBK" w:cs="Times New Roman"/>
          <w:color w:val="333333"/>
          <w:kern w:val="0"/>
          <w:sz w:val="32"/>
          <w:szCs w:val="32"/>
          <w:lang w:val="en-US" w:eastAsia="zh-CN"/>
        </w:rPr>
        <w:t>3</w:t>
      </w:r>
      <w:r>
        <w:rPr>
          <w:rFonts w:ascii="Times New Roman" w:hAnsi="Times New Roman" w:eastAsia="方正仿宋_GBK" w:cs="Times New Roman"/>
          <w:color w:val="333333"/>
          <w:kern w:val="0"/>
          <w:sz w:val="32"/>
          <w:szCs w:val="32"/>
        </w:rPr>
        <w:t>年，发改委根据《中华人民共和国政府信息公开条例》要求，认真贯彻落实区委区政府统一部署，不断健全完善政府信息公开工作制度，扎实做好政府信息公开工作。在区政府门户网站发布各类政府信息</w:t>
      </w:r>
      <w:r>
        <w:rPr>
          <w:rFonts w:hint="eastAsia" w:ascii="Times New Roman" w:hAnsi="Times New Roman" w:eastAsia="方正仿宋_GBK" w:cs="Times New Roman"/>
          <w:color w:val="333333"/>
          <w:kern w:val="0"/>
          <w:sz w:val="32"/>
          <w:szCs w:val="32"/>
          <w:lang w:val="en-US" w:eastAsia="zh-CN"/>
        </w:rPr>
        <w:t>36</w:t>
      </w:r>
      <w:r>
        <w:rPr>
          <w:rFonts w:ascii="Times New Roman" w:hAnsi="Times New Roman" w:eastAsia="方正仿宋_GBK" w:cs="Times New Roman"/>
          <w:color w:val="333333"/>
          <w:kern w:val="0"/>
          <w:sz w:val="32"/>
          <w:szCs w:val="32"/>
        </w:rPr>
        <w:t>条。</w:t>
      </w:r>
    </w:p>
    <w:p>
      <w:pPr>
        <w:widowControl/>
        <w:shd w:val="clear" w:color="auto" w:fill="FFFFFF"/>
        <w:ind w:firstLine="672" w:firstLineChars="21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主要措施：一是加强组织领导。明确由区发改委邵金秀副主任分管政府公开工作，建立了由办公室牵头，各业务科室参与的工作专班。</w:t>
      </w:r>
    </w:p>
    <w:p>
      <w:pPr>
        <w:widowControl/>
        <w:shd w:val="clear" w:color="auto" w:fill="FFFFFF"/>
        <w:ind w:firstLine="640" w:firstLineChars="20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二是强化协调联动。由办公室定期与区政府办沟通协调，及时对接各科室，按要求完成政府信息公开工作，确保工作衔接顺畅。先后按要求完成了《关于秦淮区202</w:t>
      </w:r>
      <w:r>
        <w:rPr>
          <w:rFonts w:hint="eastAsia" w:ascii="Times New Roman" w:hAnsi="Times New Roman" w:eastAsia="方正仿宋_GBK" w:cs="Times New Roman"/>
          <w:color w:val="333333"/>
          <w:kern w:val="0"/>
          <w:sz w:val="32"/>
          <w:szCs w:val="32"/>
          <w:lang w:val="en-US" w:eastAsia="zh-CN"/>
        </w:rPr>
        <w:t>2</w:t>
      </w:r>
      <w:r>
        <w:rPr>
          <w:rFonts w:ascii="Times New Roman" w:hAnsi="Times New Roman" w:eastAsia="方正仿宋_GBK" w:cs="Times New Roman"/>
          <w:color w:val="333333"/>
          <w:kern w:val="0"/>
          <w:sz w:val="32"/>
          <w:szCs w:val="32"/>
        </w:rPr>
        <w:t>年国民经济和社会发展计划执行情况及202</w:t>
      </w:r>
      <w:r>
        <w:rPr>
          <w:rFonts w:hint="eastAsia" w:ascii="Times New Roman" w:hAnsi="Times New Roman" w:eastAsia="方正仿宋_GBK" w:cs="Times New Roman"/>
          <w:color w:val="333333"/>
          <w:kern w:val="0"/>
          <w:sz w:val="32"/>
          <w:szCs w:val="32"/>
          <w:lang w:val="en-US" w:eastAsia="zh-CN"/>
        </w:rPr>
        <w:t>3</w:t>
      </w:r>
      <w:r>
        <w:rPr>
          <w:rFonts w:ascii="Times New Roman" w:hAnsi="Times New Roman" w:eastAsia="方正仿宋_GBK" w:cs="Times New Roman"/>
          <w:color w:val="333333"/>
          <w:kern w:val="0"/>
          <w:sz w:val="32"/>
          <w:szCs w:val="32"/>
        </w:rPr>
        <w:t>年国民经济和社会发展计划草案的报告》</w:t>
      </w:r>
      <w:r>
        <w:rPr>
          <w:rFonts w:hint="eastAsia" w:ascii="Times New Roman" w:hAnsi="Times New Roman" w:eastAsia="方正仿宋_GBK" w:cs="Times New Roman"/>
          <w:color w:val="333333"/>
          <w:kern w:val="0"/>
          <w:sz w:val="32"/>
          <w:szCs w:val="32"/>
          <w:lang w:eastAsia="zh-CN"/>
        </w:rPr>
        <w:t>《</w:t>
      </w:r>
      <w:r>
        <w:rPr>
          <w:rFonts w:hint="eastAsia" w:ascii="Times New Roman" w:hAnsi="Times New Roman" w:eastAsia="方正仿宋_GBK" w:cs="Times New Roman"/>
          <w:color w:val="333333"/>
          <w:kern w:val="0"/>
          <w:sz w:val="32"/>
          <w:szCs w:val="32"/>
          <w:lang w:val="en-US" w:eastAsia="zh-CN"/>
        </w:rPr>
        <w:t>秦淮区国民经济和社会发展第十四个五年规划和二〇三五年远景目标纲要</w:t>
      </w:r>
      <w:r>
        <w:rPr>
          <w:rFonts w:hint="eastAsia" w:ascii="Times New Roman" w:hAnsi="Times New Roman" w:eastAsia="方正仿宋_GBK" w:cs="Times New Roman"/>
          <w:color w:val="333333"/>
          <w:kern w:val="0"/>
          <w:sz w:val="32"/>
          <w:szCs w:val="32"/>
          <w:lang w:eastAsia="zh-CN"/>
        </w:rPr>
        <w:t>》</w:t>
      </w:r>
      <w:r>
        <w:rPr>
          <w:rFonts w:ascii="Times New Roman" w:hAnsi="Times New Roman" w:eastAsia="方正仿宋_GBK" w:cs="Times New Roman"/>
          <w:color w:val="333333"/>
          <w:kern w:val="0"/>
          <w:sz w:val="32"/>
          <w:szCs w:val="32"/>
        </w:rPr>
        <w:t>等信息公开</w:t>
      </w:r>
      <w:r>
        <w:rPr>
          <w:rFonts w:hint="eastAsia" w:ascii="Times New Roman" w:hAnsi="Times New Roman" w:eastAsia="方正仿宋_GBK" w:cs="Times New Roman"/>
          <w:color w:val="333333"/>
          <w:kern w:val="0"/>
          <w:sz w:val="32"/>
          <w:szCs w:val="32"/>
        </w:rPr>
        <w:t>。</w:t>
      </w:r>
    </w:p>
    <w:p>
      <w:pPr>
        <w:widowControl/>
        <w:shd w:val="clear" w:color="auto" w:fill="FFFFFF"/>
        <w:ind w:firstLine="640" w:firstLineChars="200"/>
        <w:rPr>
          <w:rFonts w:ascii="宋体" w:hAnsi="宋体" w:cs="宋体"/>
          <w:color w:val="333333"/>
          <w:kern w:val="0"/>
          <w:sz w:val="30"/>
          <w:szCs w:val="30"/>
        </w:rPr>
      </w:pPr>
      <w:r>
        <w:rPr>
          <w:rFonts w:ascii="Times New Roman" w:hAnsi="Times New Roman" w:eastAsia="方正仿宋_GBK" w:cs="Times New Roman"/>
          <w:color w:val="333333"/>
          <w:kern w:val="0"/>
          <w:sz w:val="32"/>
          <w:szCs w:val="32"/>
        </w:rPr>
        <w:t>三是严格信息审查。完善了单位政府信息公开指南和目录的编修、修订和更新工作，严格落实保密审查机制，坚持上网信息均由所在科室负责人，分管领导把关后报主要领导同意后公开，确保不发生问题。</w:t>
      </w:r>
    </w:p>
    <w:p>
      <w:pPr>
        <w:widowControl/>
        <w:shd w:val="clear" w:color="auto" w:fill="FFFFFF"/>
        <w:ind w:firstLine="672" w:firstLineChars="210"/>
        <w:rPr>
          <w:rFonts w:ascii="方正黑体_GBK" w:hAnsi="宋体" w:eastAsia="方正黑体_GBK" w:cs="宋体"/>
          <w:bCs/>
          <w:color w:val="333333"/>
          <w:kern w:val="0"/>
          <w:sz w:val="32"/>
          <w:szCs w:val="32"/>
        </w:rPr>
      </w:pPr>
      <w:r>
        <w:rPr>
          <w:rFonts w:hint="eastAsia" w:ascii="方正黑体_GBK" w:hAnsi="宋体" w:eastAsia="方正黑体_GBK" w:cs="宋体"/>
          <w:bCs/>
          <w:color w:val="333333"/>
          <w:kern w:val="0"/>
          <w:sz w:val="32"/>
          <w:szCs w:val="32"/>
        </w:rPr>
        <w:t>二、主动公开政府信息情况</w:t>
      </w:r>
    </w:p>
    <w:tbl>
      <w:tblPr>
        <w:tblStyle w:val="6"/>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cs="宋体"/>
                <w:kern w:val="0"/>
                <w:sz w:val="28"/>
                <w:szCs w:val="30"/>
              </w:rPr>
            </w:pPr>
            <w:r>
              <w:rPr>
                <w:rFonts w:hint="eastAsia" w:ascii="宋体" w:hAnsi="宋体" w:cs="宋体"/>
                <w:color w:val="000000"/>
                <w:kern w:val="0"/>
                <w:sz w:val="28"/>
                <w:szCs w:val="3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8"/>
                <w:szCs w:val="30"/>
              </w:rPr>
            </w:pPr>
            <w:r>
              <w:rPr>
                <w:rFonts w:hint="eastAsia" w:ascii="宋体" w:hAnsi="宋体" w:cs="宋体"/>
                <w:color w:val="000000"/>
                <w:kern w:val="0"/>
                <w:sz w:val="28"/>
                <w:szCs w:val="30"/>
              </w:rPr>
              <w:t>信息内容</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8"/>
                <w:szCs w:val="30"/>
              </w:rPr>
            </w:pPr>
            <w:r>
              <w:rPr>
                <w:rFonts w:hint="eastAsia" w:ascii="宋体" w:hAnsi="宋体" w:cs="宋体"/>
                <w:color w:val="000000"/>
                <w:kern w:val="0"/>
                <w:sz w:val="28"/>
                <w:szCs w:val="30"/>
              </w:rPr>
              <w:t>本年</w:t>
            </w:r>
            <w:r>
              <w:rPr>
                <w:rFonts w:ascii="宋体" w:hAnsi="宋体" w:cs="Calibri"/>
                <w:kern w:val="0"/>
                <w:sz w:val="28"/>
                <w:szCs w:val="30"/>
              </w:rPr>
              <w:t>制</w:t>
            </w:r>
            <w:r>
              <w:rPr>
                <w:rFonts w:hint="eastAsia" w:ascii="宋体" w:hAnsi="宋体" w:cs="宋体"/>
                <w:kern w:val="0"/>
                <w:sz w:val="28"/>
                <w:szCs w:val="30"/>
              </w:rPr>
              <w:t>发件</w:t>
            </w:r>
            <w:r>
              <w:rPr>
                <w:rFonts w:ascii="宋体" w:hAnsi="宋体" w:cs="Calibri"/>
                <w:kern w:val="0"/>
                <w:sz w:val="28"/>
                <w:szCs w:val="30"/>
              </w:rPr>
              <w:t>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8"/>
                <w:szCs w:val="30"/>
              </w:rPr>
            </w:pPr>
            <w:r>
              <w:rPr>
                <w:rFonts w:hint="eastAsia" w:ascii="宋体" w:hAnsi="宋体" w:cs="宋体"/>
                <w:color w:val="000000"/>
                <w:kern w:val="0"/>
                <w:sz w:val="28"/>
                <w:szCs w:val="30"/>
              </w:rPr>
              <w:t>本年废止件数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8"/>
                <w:szCs w:val="30"/>
              </w:rPr>
            </w:pPr>
            <w:r>
              <w:rPr>
                <w:rFonts w:hint="eastAsia" w:ascii="宋体" w:hAnsi="宋体" w:cs="宋体"/>
                <w:color w:val="000000"/>
                <w:kern w:val="0"/>
                <w:sz w:val="28"/>
                <w:szCs w:val="30"/>
              </w:rPr>
              <w:t>现行有效件</w:t>
            </w:r>
            <w:r>
              <w:rPr>
                <w:rFonts w:ascii="宋体" w:hAnsi="宋体" w:cs="Calibri"/>
                <w:kern w:val="0"/>
                <w:sz w:val="28"/>
                <w:szCs w:val="30"/>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8"/>
                <w:szCs w:val="30"/>
              </w:rPr>
            </w:pPr>
            <w:r>
              <w:rPr>
                <w:rFonts w:hint="eastAsia" w:ascii="宋体" w:hAnsi="宋体" w:cs="宋体"/>
                <w:color w:val="000000"/>
                <w:kern w:val="0"/>
                <w:sz w:val="28"/>
                <w:szCs w:val="30"/>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8"/>
                <w:szCs w:val="30"/>
              </w:rPr>
            </w:pPr>
            <w:r>
              <w:rPr>
                <w:rFonts w:hint="eastAsia" w:ascii="宋体" w:hAnsi="宋体" w:cs="宋体"/>
                <w:kern w:val="0"/>
                <w:sz w:val="28"/>
                <w:szCs w:val="30"/>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8"/>
                <w:szCs w:val="30"/>
              </w:rPr>
            </w:pPr>
            <w:r>
              <w:rPr>
                <w:rFonts w:hint="eastAsia" w:ascii="宋体" w:hAnsi="宋体" w:cs="宋体"/>
                <w:kern w:val="0"/>
                <w:sz w:val="28"/>
                <w:szCs w:val="30"/>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8"/>
                <w:szCs w:val="30"/>
              </w:rPr>
            </w:pPr>
            <w:r>
              <w:rPr>
                <w:rFonts w:hint="eastAsia" w:ascii="宋体" w:hAnsi="宋体" w:cs="宋体"/>
                <w:kern w:val="0"/>
                <w:sz w:val="28"/>
                <w:szCs w:val="30"/>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8"/>
                <w:szCs w:val="30"/>
              </w:rPr>
            </w:pPr>
            <w:r>
              <w:rPr>
                <w:rFonts w:hint="eastAsia" w:ascii="宋体" w:hAnsi="宋体" w:cs="宋体"/>
                <w:color w:val="000000"/>
                <w:kern w:val="0"/>
                <w:sz w:val="28"/>
                <w:szCs w:val="30"/>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cs="宋体" w:eastAsiaTheme="minorEastAsia"/>
                <w:kern w:val="0"/>
                <w:sz w:val="28"/>
                <w:szCs w:val="30"/>
                <w:lang w:val="en-US" w:eastAsia="zh-CN"/>
              </w:rPr>
            </w:pPr>
            <w:r>
              <w:rPr>
                <w:rFonts w:hint="eastAsia" w:ascii="宋体" w:hAnsi="宋体" w:cs="宋体"/>
                <w:kern w:val="0"/>
                <w:sz w:val="28"/>
                <w:szCs w:val="3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cs="宋体" w:eastAsiaTheme="minorEastAsia"/>
                <w:kern w:val="0"/>
                <w:sz w:val="28"/>
                <w:szCs w:val="30"/>
                <w:lang w:eastAsia="zh-CN"/>
              </w:rPr>
            </w:pPr>
            <w:r>
              <w:rPr>
                <w:rFonts w:hint="eastAsia" w:ascii="宋体" w:hAnsi="宋体" w:cs="宋体"/>
                <w:kern w:val="0"/>
                <w:sz w:val="28"/>
                <w:szCs w:val="3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8"/>
                <w:szCs w:val="30"/>
              </w:rPr>
            </w:pPr>
            <w:r>
              <w:rPr>
                <w:rFonts w:hint="eastAsia" w:ascii="宋体" w:hAnsi="宋体" w:cs="宋体"/>
                <w:kern w:val="0"/>
                <w:sz w:val="28"/>
                <w:szCs w:val="30"/>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cs="宋体"/>
                <w:kern w:val="0"/>
                <w:sz w:val="28"/>
                <w:szCs w:val="30"/>
              </w:rPr>
            </w:pPr>
            <w:r>
              <w:rPr>
                <w:rFonts w:hint="eastAsia" w:ascii="宋体" w:hAnsi="宋体" w:cs="宋体"/>
                <w:color w:val="000000"/>
                <w:kern w:val="0"/>
                <w:sz w:val="28"/>
                <w:szCs w:val="3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8"/>
                <w:szCs w:val="30"/>
              </w:rPr>
            </w:pPr>
            <w:r>
              <w:rPr>
                <w:rFonts w:hint="eastAsia" w:ascii="宋体" w:hAnsi="宋体" w:cs="宋体"/>
                <w:color w:val="000000"/>
                <w:kern w:val="0"/>
                <w:sz w:val="28"/>
                <w:szCs w:val="30"/>
              </w:rPr>
              <w:t>信息内容</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8"/>
                <w:szCs w:val="30"/>
              </w:rPr>
            </w:pPr>
            <w:r>
              <w:rPr>
                <w:rFonts w:hint="eastAsia" w:ascii="宋体" w:hAnsi="宋体" w:cs="宋体"/>
                <w:color w:val="000000"/>
                <w:kern w:val="0"/>
                <w:sz w:val="28"/>
                <w:szCs w:val="3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8"/>
                <w:szCs w:val="30"/>
              </w:rPr>
            </w:pPr>
            <w:r>
              <w:rPr>
                <w:rFonts w:hint="eastAsia" w:ascii="宋体" w:hAnsi="宋体" w:cs="宋体"/>
                <w:color w:val="000000"/>
                <w:kern w:val="0"/>
                <w:sz w:val="28"/>
                <w:szCs w:val="30"/>
              </w:rPr>
              <w:t>行政许可</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8"/>
                <w:szCs w:val="30"/>
              </w:rPr>
            </w:pPr>
            <w:r>
              <w:rPr>
                <w:rFonts w:hint="eastAsia" w:ascii="宋体" w:hAnsi="宋体" w:cs="宋体"/>
                <w:kern w:val="0"/>
                <w:sz w:val="28"/>
                <w:szCs w:val="30"/>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cs="宋体"/>
                <w:kern w:val="0"/>
                <w:sz w:val="28"/>
                <w:szCs w:val="30"/>
              </w:rPr>
            </w:pPr>
            <w:r>
              <w:rPr>
                <w:rFonts w:hint="eastAsia" w:ascii="宋体" w:hAnsi="宋体" w:cs="宋体"/>
                <w:color w:val="000000"/>
                <w:kern w:val="0"/>
                <w:sz w:val="28"/>
                <w:szCs w:val="3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8"/>
                <w:szCs w:val="30"/>
              </w:rPr>
            </w:pPr>
            <w:r>
              <w:rPr>
                <w:rFonts w:hint="eastAsia" w:ascii="宋体" w:hAnsi="宋体" w:cs="宋体"/>
                <w:color w:val="000000"/>
                <w:kern w:val="0"/>
                <w:sz w:val="28"/>
                <w:szCs w:val="30"/>
              </w:rPr>
              <w:t>信息内容</w:t>
            </w:r>
          </w:p>
        </w:tc>
        <w:tc>
          <w:tcPr>
            <w:tcW w:w="7305"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8"/>
                <w:szCs w:val="30"/>
              </w:rPr>
            </w:pPr>
            <w:r>
              <w:rPr>
                <w:rFonts w:hint="eastAsia" w:ascii="宋体" w:hAnsi="宋体" w:cs="宋体"/>
                <w:color w:val="000000"/>
                <w:kern w:val="0"/>
                <w:sz w:val="28"/>
                <w:szCs w:val="3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8"/>
                <w:szCs w:val="30"/>
              </w:rPr>
            </w:pPr>
            <w:r>
              <w:rPr>
                <w:rFonts w:hint="eastAsia" w:ascii="宋体" w:hAnsi="宋体" w:cs="宋体"/>
                <w:color w:val="000000"/>
                <w:kern w:val="0"/>
                <w:sz w:val="28"/>
                <w:szCs w:val="30"/>
              </w:rPr>
              <w:t>行政处罚</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8"/>
                <w:szCs w:val="30"/>
              </w:rPr>
            </w:pPr>
            <w:r>
              <w:rPr>
                <w:rFonts w:hint="eastAsia" w:ascii="宋体" w:hAnsi="宋体" w:cs="宋体"/>
                <w:kern w:val="0"/>
                <w:sz w:val="28"/>
                <w:szCs w:val="30"/>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8"/>
                <w:szCs w:val="30"/>
              </w:rPr>
            </w:pPr>
            <w:r>
              <w:rPr>
                <w:rFonts w:hint="eastAsia" w:ascii="宋体" w:hAnsi="宋体" w:cs="宋体"/>
                <w:color w:val="000000"/>
                <w:kern w:val="0"/>
                <w:sz w:val="28"/>
                <w:szCs w:val="30"/>
              </w:rPr>
              <w:t>行政强制</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8"/>
                <w:szCs w:val="30"/>
              </w:rPr>
            </w:pPr>
            <w:r>
              <w:rPr>
                <w:rFonts w:hint="eastAsia" w:ascii="宋体" w:hAnsi="宋体" w:cs="宋体"/>
                <w:kern w:val="0"/>
                <w:sz w:val="28"/>
                <w:szCs w:val="30"/>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cs="宋体"/>
                <w:kern w:val="0"/>
                <w:sz w:val="28"/>
                <w:szCs w:val="30"/>
              </w:rPr>
            </w:pPr>
            <w:r>
              <w:rPr>
                <w:rFonts w:hint="eastAsia" w:ascii="宋体" w:hAnsi="宋体" w:cs="宋体"/>
                <w:color w:val="000000"/>
                <w:kern w:val="0"/>
                <w:sz w:val="28"/>
                <w:szCs w:val="3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8"/>
                <w:szCs w:val="30"/>
              </w:rPr>
            </w:pPr>
            <w:r>
              <w:rPr>
                <w:rFonts w:hint="eastAsia" w:ascii="宋体" w:hAnsi="宋体" w:cs="宋体"/>
                <w:color w:val="000000"/>
                <w:kern w:val="0"/>
                <w:sz w:val="28"/>
                <w:szCs w:val="30"/>
              </w:rPr>
              <w:t>信息内容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widowControl/>
              <w:jc w:val="center"/>
              <w:rPr>
                <w:rFonts w:ascii="宋体" w:hAnsi="宋体" w:cs="宋体"/>
                <w:kern w:val="0"/>
                <w:sz w:val="28"/>
                <w:szCs w:val="30"/>
              </w:rPr>
            </w:pPr>
            <w:r>
              <w:rPr>
                <w:rFonts w:hint="eastAsia" w:ascii="宋体" w:hAnsi="宋体" w:cs="宋体"/>
                <w:color w:val="000000"/>
                <w:kern w:val="0"/>
                <w:sz w:val="28"/>
                <w:szCs w:val="3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8"/>
                <w:szCs w:val="30"/>
              </w:rPr>
            </w:pPr>
            <w:r>
              <w:rPr>
                <w:rFonts w:hint="eastAsia" w:ascii="宋体" w:hAnsi="宋体" w:cs="宋体"/>
                <w:color w:val="000000"/>
                <w:kern w:val="0"/>
                <w:sz w:val="28"/>
                <w:szCs w:val="30"/>
              </w:rPr>
              <w:t>行政事业性收费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widowControl/>
              <w:jc w:val="center"/>
              <w:rPr>
                <w:rFonts w:ascii="宋体" w:hAnsi="宋体" w:cs="宋体"/>
                <w:kern w:val="0"/>
                <w:sz w:val="28"/>
                <w:szCs w:val="30"/>
              </w:rPr>
            </w:pPr>
            <w:r>
              <w:rPr>
                <w:rFonts w:hint="eastAsia" w:ascii="宋体" w:hAnsi="宋体" w:cs="宋体"/>
                <w:kern w:val="0"/>
                <w:sz w:val="28"/>
                <w:szCs w:val="30"/>
              </w:rPr>
              <w:t>0</w:t>
            </w:r>
          </w:p>
        </w:tc>
      </w:tr>
    </w:tbl>
    <w:p>
      <w:pPr>
        <w:widowControl/>
        <w:shd w:val="clear" w:color="auto" w:fill="FFFFFF"/>
        <w:ind w:firstLine="672" w:firstLineChars="210"/>
        <w:rPr>
          <w:rFonts w:ascii="方正黑体_GBK" w:hAnsi="宋体" w:eastAsia="方正黑体_GBK" w:cs="宋体"/>
          <w:bCs/>
          <w:color w:val="333333"/>
          <w:kern w:val="0"/>
          <w:sz w:val="32"/>
          <w:szCs w:val="32"/>
        </w:rPr>
      </w:pPr>
    </w:p>
    <w:p>
      <w:pPr>
        <w:widowControl/>
        <w:shd w:val="clear" w:color="auto" w:fill="FFFFFF"/>
        <w:ind w:firstLine="672" w:firstLineChars="210"/>
        <w:rPr>
          <w:rFonts w:ascii="方正黑体_GBK" w:hAnsi="宋体" w:eastAsia="方正黑体_GBK" w:cs="宋体"/>
          <w:bCs/>
          <w:color w:val="333333"/>
          <w:kern w:val="0"/>
          <w:sz w:val="32"/>
          <w:szCs w:val="32"/>
        </w:rPr>
      </w:pPr>
      <w:r>
        <w:rPr>
          <w:rFonts w:hint="eastAsia" w:ascii="方正黑体_GBK" w:hAnsi="宋体" w:eastAsia="方正黑体_GBK" w:cs="宋体"/>
          <w:bCs/>
          <w:color w:val="333333"/>
          <w:kern w:val="0"/>
          <w:sz w:val="32"/>
          <w:szCs w:val="32"/>
        </w:rPr>
        <w:t>三、收到和处理政府信息公开申请情况</w:t>
      </w:r>
    </w:p>
    <w:tbl>
      <w:tblPr>
        <w:tblStyle w:val="6"/>
        <w:tblW w:w="9748" w:type="dxa"/>
        <w:jc w:val="center"/>
        <w:tblLayout w:type="autofit"/>
        <w:tblCellMar>
          <w:top w:w="0" w:type="dxa"/>
          <w:left w:w="0" w:type="dxa"/>
          <w:bottom w:w="0" w:type="dxa"/>
          <w:right w:w="0" w:type="dxa"/>
        </w:tblCellMar>
      </w:tblPr>
      <w:tblGrid>
        <w:gridCol w:w="778"/>
        <w:gridCol w:w="1014"/>
        <w:gridCol w:w="3154"/>
        <w:gridCol w:w="686"/>
        <w:gridCol w:w="686"/>
        <w:gridCol w:w="686"/>
        <w:gridCol w:w="686"/>
        <w:gridCol w:w="686"/>
        <w:gridCol w:w="686"/>
        <w:gridCol w:w="686"/>
      </w:tblGrid>
      <w:tr>
        <w:tblPrEx>
          <w:tblCellMar>
            <w:top w:w="0" w:type="dxa"/>
            <w:left w:w="0" w:type="dxa"/>
            <w:bottom w:w="0" w:type="dxa"/>
            <w:right w:w="0" w:type="dxa"/>
          </w:tblCellMar>
        </w:tblPrEx>
        <w:trPr>
          <w:jc w:val="center"/>
        </w:trPr>
        <w:tc>
          <w:tcPr>
            <w:tcW w:w="4946"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spacing w:line="300" w:lineRule="exact"/>
              <w:jc w:val="left"/>
              <w:rPr>
                <w:rFonts w:ascii="宋体" w:hAnsi="宋体" w:cs="宋体"/>
                <w:kern w:val="0"/>
                <w:sz w:val="24"/>
              </w:rPr>
            </w:pPr>
            <w:r>
              <w:rPr>
                <w:rFonts w:hint="eastAsia" w:ascii="楷体" w:hAnsi="楷体" w:eastAsia="楷体" w:cs="宋体"/>
                <w:kern w:val="0"/>
                <w:sz w:val="24"/>
              </w:rPr>
              <w:t>（本列数据的勾稽关系为：第一项加第二项之和，等于第三项加第四项之和）</w:t>
            </w:r>
          </w:p>
        </w:tc>
        <w:tc>
          <w:tcPr>
            <w:tcW w:w="4802"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申请人情况</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686"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自然人</w:t>
            </w:r>
          </w:p>
        </w:tc>
        <w:tc>
          <w:tcPr>
            <w:tcW w:w="343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法人或其他组织</w:t>
            </w:r>
          </w:p>
        </w:tc>
        <w:tc>
          <w:tcPr>
            <w:tcW w:w="68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总计</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686" w:type="dxa"/>
            <w:vMerge w:val="continue"/>
            <w:tcBorders>
              <w:top w:val="nil"/>
              <w:left w:val="nil"/>
              <w:bottom w:val="single" w:color="auto" w:sz="8" w:space="0"/>
              <w:right w:val="single" w:color="auto" w:sz="8" w:space="0"/>
            </w:tcBorders>
            <w:vAlign w:val="center"/>
          </w:tcPr>
          <w:p>
            <w:pPr>
              <w:widowControl/>
              <w:spacing w:line="300" w:lineRule="exact"/>
              <w:jc w:val="left"/>
              <w:rPr>
                <w:rFonts w:ascii="宋体" w:hAnsi="宋体" w:cs="宋体"/>
                <w:kern w:val="0"/>
                <w:sz w:val="24"/>
              </w:rPr>
            </w:pP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商业</w:t>
            </w:r>
          </w:p>
          <w:p>
            <w:pPr>
              <w:widowControl/>
              <w:spacing w:line="300" w:lineRule="exact"/>
              <w:jc w:val="center"/>
              <w:rPr>
                <w:rFonts w:ascii="宋体" w:hAnsi="宋体" w:cs="宋体"/>
                <w:kern w:val="0"/>
                <w:sz w:val="24"/>
              </w:rPr>
            </w:pPr>
            <w:r>
              <w:rPr>
                <w:rFonts w:hint="eastAsia" w:ascii="宋体" w:hAnsi="宋体" w:cs="宋体"/>
                <w:kern w:val="0"/>
                <w:sz w:val="24"/>
              </w:rPr>
              <w:t>企业</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科研</w:t>
            </w:r>
          </w:p>
          <w:p>
            <w:pPr>
              <w:widowControl/>
              <w:spacing w:line="300" w:lineRule="exact"/>
              <w:jc w:val="center"/>
              <w:rPr>
                <w:rFonts w:ascii="宋体" w:hAnsi="宋体" w:cs="宋体"/>
                <w:kern w:val="0"/>
                <w:sz w:val="24"/>
              </w:rPr>
            </w:pPr>
            <w:r>
              <w:rPr>
                <w:rFonts w:hint="eastAsia" w:ascii="宋体" w:hAnsi="宋体" w:cs="宋体"/>
                <w:kern w:val="0"/>
                <w:sz w:val="24"/>
              </w:rPr>
              <w:t>机构</w:t>
            </w:r>
          </w:p>
        </w:tc>
        <w:tc>
          <w:tcPr>
            <w:tcW w:w="68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社会公益组织</w:t>
            </w:r>
          </w:p>
        </w:tc>
        <w:tc>
          <w:tcPr>
            <w:tcW w:w="68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法律服务机构</w:t>
            </w:r>
          </w:p>
        </w:tc>
        <w:tc>
          <w:tcPr>
            <w:tcW w:w="68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其他</w:t>
            </w:r>
          </w:p>
        </w:tc>
        <w:tc>
          <w:tcPr>
            <w:tcW w:w="0" w:type="auto"/>
            <w:vMerge w:val="continue"/>
            <w:tcBorders>
              <w:top w:val="single" w:color="auto" w:sz="8" w:space="0"/>
              <w:left w:val="nil"/>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r>
      <w:tr>
        <w:tblPrEx>
          <w:tblCellMar>
            <w:top w:w="0" w:type="dxa"/>
            <w:left w:w="0" w:type="dxa"/>
            <w:bottom w:w="0" w:type="dxa"/>
            <w:right w:w="0" w:type="dxa"/>
          </w:tblCellMar>
        </w:tblPrEx>
        <w:trPr>
          <w:jc w:val="center"/>
        </w:trPr>
        <w:tc>
          <w:tcPr>
            <w:tcW w:w="4946"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spacing w:line="300" w:lineRule="exact"/>
              <w:jc w:val="left"/>
              <w:rPr>
                <w:rFonts w:ascii="宋体" w:hAnsi="宋体" w:cs="宋体"/>
                <w:kern w:val="0"/>
                <w:sz w:val="24"/>
              </w:rPr>
            </w:pPr>
            <w:r>
              <w:rPr>
                <w:rFonts w:hint="eastAsia" w:ascii="宋体" w:hAnsi="宋体" w:cs="宋体"/>
                <w:kern w:val="0"/>
                <w:sz w:val="24"/>
              </w:rPr>
              <w:t>一、本年新收政府信息公开申请数量</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3</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3</w:t>
            </w:r>
          </w:p>
        </w:tc>
      </w:tr>
      <w:tr>
        <w:tblPrEx>
          <w:tblCellMar>
            <w:top w:w="0" w:type="dxa"/>
            <w:left w:w="0" w:type="dxa"/>
            <w:bottom w:w="0" w:type="dxa"/>
            <w:right w:w="0" w:type="dxa"/>
          </w:tblCellMar>
        </w:tblPrEx>
        <w:trPr>
          <w:jc w:val="center"/>
        </w:trPr>
        <w:tc>
          <w:tcPr>
            <w:tcW w:w="4946"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spacing w:line="300" w:lineRule="exact"/>
              <w:jc w:val="left"/>
              <w:rPr>
                <w:rFonts w:ascii="宋体" w:hAnsi="宋体" w:cs="宋体"/>
                <w:kern w:val="0"/>
                <w:sz w:val="24"/>
              </w:rPr>
            </w:pPr>
            <w:r>
              <w:rPr>
                <w:rFonts w:hint="eastAsia" w:ascii="宋体" w:hAnsi="宋体" w:cs="宋体"/>
                <w:kern w:val="0"/>
                <w:sz w:val="24"/>
              </w:rPr>
              <w:t>二、上年结转政府信息公开申请数量</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77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spacing w:line="300" w:lineRule="exact"/>
              <w:jc w:val="left"/>
              <w:rPr>
                <w:rFonts w:ascii="宋体" w:hAnsi="宋体" w:cs="宋体"/>
                <w:kern w:val="0"/>
                <w:sz w:val="24"/>
              </w:rPr>
            </w:pPr>
            <w:r>
              <w:rPr>
                <w:rFonts w:hint="eastAsia" w:ascii="宋体" w:hAnsi="宋体" w:cs="宋体"/>
                <w:kern w:val="0"/>
                <w:sz w:val="24"/>
              </w:rPr>
              <w:t>三、本年度办理结果</w:t>
            </w:r>
          </w:p>
        </w:tc>
        <w:tc>
          <w:tcPr>
            <w:tcW w:w="4168"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left"/>
              <w:rPr>
                <w:rFonts w:ascii="宋体" w:hAnsi="宋体" w:cs="宋体"/>
                <w:kern w:val="0"/>
                <w:sz w:val="24"/>
              </w:rPr>
            </w:pPr>
            <w:r>
              <w:rPr>
                <w:rFonts w:hint="eastAsia" w:ascii="宋体" w:hAnsi="宋体" w:cs="宋体"/>
                <w:kern w:val="0"/>
                <w:sz w:val="24"/>
              </w:rPr>
              <w:t>（一）予以公开</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4168"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left"/>
              <w:rPr>
                <w:rFonts w:ascii="宋体" w:hAnsi="宋体" w:cs="宋体"/>
                <w:kern w:val="0"/>
                <w:sz w:val="24"/>
              </w:rPr>
            </w:pPr>
            <w:r>
              <w:rPr>
                <w:rFonts w:hint="eastAsia" w:ascii="宋体" w:hAnsi="宋体" w:cs="宋体"/>
                <w:kern w:val="0"/>
                <w:sz w:val="24"/>
              </w:rPr>
              <w:t>（二）部分公开</w:t>
            </w:r>
            <w:r>
              <w:rPr>
                <w:rFonts w:hint="eastAsia" w:ascii="楷体" w:hAnsi="楷体" w:eastAsia="楷体" w:cs="宋体"/>
                <w:kern w:val="0"/>
                <w:sz w:val="24"/>
              </w:rPr>
              <w:t>（区分处理的，只计这一情形，不计其他情形）</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1014"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spacing w:line="300" w:lineRule="exact"/>
              <w:jc w:val="left"/>
              <w:rPr>
                <w:rFonts w:ascii="宋体" w:hAnsi="宋体" w:cs="宋体"/>
                <w:kern w:val="0"/>
                <w:sz w:val="24"/>
              </w:rPr>
            </w:pPr>
            <w:r>
              <w:rPr>
                <w:rFonts w:hint="eastAsia" w:ascii="宋体" w:hAnsi="宋体" w:cs="宋体"/>
                <w:kern w:val="0"/>
                <w:sz w:val="24"/>
              </w:rPr>
              <w:t>（三）不予公开</w:t>
            </w:r>
          </w:p>
        </w:tc>
        <w:tc>
          <w:tcPr>
            <w:tcW w:w="3154"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300" w:lineRule="exact"/>
              <w:jc w:val="left"/>
              <w:rPr>
                <w:rFonts w:ascii="宋体" w:hAnsi="宋体" w:cs="宋体"/>
                <w:kern w:val="0"/>
                <w:sz w:val="24"/>
              </w:rPr>
            </w:pPr>
            <w:r>
              <w:rPr>
                <w:rFonts w:hint="eastAsia" w:ascii="宋体" w:hAnsi="宋体" w:cs="宋体"/>
                <w:kern w:val="0"/>
                <w:sz w:val="24"/>
              </w:rPr>
              <w:t>1.属于国家秘密</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3154"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300" w:lineRule="exact"/>
              <w:jc w:val="left"/>
              <w:rPr>
                <w:rFonts w:ascii="宋体" w:hAnsi="宋体" w:cs="宋体"/>
                <w:kern w:val="0"/>
                <w:sz w:val="24"/>
              </w:rPr>
            </w:pPr>
            <w:r>
              <w:rPr>
                <w:rFonts w:hint="eastAsia" w:ascii="宋体" w:hAnsi="宋体" w:cs="宋体"/>
                <w:kern w:val="0"/>
                <w:sz w:val="24"/>
              </w:rPr>
              <w:t>2.其他法律行政法规禁止公开</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3154"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300" w:lineRule="exact"/>
              <w:jc w:val="left"/>
              <w:rPr>
                <w:rFonts w:ascii="宋体" w:hAnsi="宋体" w:cs="宋体"/>
                <w:kern w:val="0"/>
                <w:sz w:val="24"/>
              </w:rPr>
            </w:pPr>
            <w:r>
              <w:rPr>
                <w:rFonts w:hint="eastAsia" w:ascii="宋体" w:hAnsi="宋体" w:cs="宋体"/>
                <w:kern w:val="0"/>
                <w:sz w:val="24"/>
              </w:rPr>
              <w:t>3.危及“三安全一稳定”</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3154"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300" w:lineRule="exact"/>
              <w:jc w:val="left"/>
              <w:rPr>
                <w:rFonts w:ascii="宋体" w:hAnsi="宋体" w:cs="宋体"/>
                <w:kern w:val="0"/>
                <w:sz w:val="24"/>
              </w:rPr>
            </w:pPr>
            <w:r>
              <w:rPr>
                <w:rFonts w:hint="eastAsia" w:ascii="宋体" w:hAnsi="宋体" w:cs="宋体"/>
                <w:kern w:val="0"/>
                <w:sz w:val="24"/>
              </w:rPr>
              <w:t>4.保护第三方合法权益</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3154"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300" w:lineRule="exact"/>
              <w:jc w:val="left"/>
              <w:rPr>
                <w:rFonts w:ascii="宋体" w:hAnsi="宋体" w:cs="宋体"/>
                <w:kern w:val="0"/>
                <w:sz w:val="24"/>
              </w:rPr>
            </w:pPr>
            <w:r>
              <w:rPr>
                <w:rFonts w:hint="eastAsia" w:ascii="宋体" w:hAnsi="宋体" w:cs="宋体"/>
                <w:kern w:val="0"/>
                <w:sz w:val="24"/>
              </w:rPr>
              <w:t>5.属于三类内部事务信息</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3154"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300" w:lineRule="exact"/>
              <w:jc w:val="left"/>
              <w:rPr>
                <w:rFonts w:ascii="宋体" w:hAnsi="宋体" w:cs="宋体"/>
                <w:kern w:val="0"/>
                <w:sz w:val="24"/>
              </w:rPr>
            </w:pPr>
            <w:r>
              <w:rPr>
                <w:rFonts w:hint="eastAsia" w:ascii="宋体" w:hAnsi="宋体" w:cs="宋体"/>
                <w:kern w:val="0"/>
                <w:sz w:val="24"/>
              </w:rPr>
              <w:t>6.属于四类过程性信息</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3154"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300" w:lineRule="exact"/>
              <w:jc w:val="left"/>
              <w:rPr>
                <w:rFonts w:ascii="宋体" w:hAnsi="宋体" w:cs="宋体"/>
                <w:kern w:val="0"/>
                <w:sz w:val="24"/>
              </w:rPr>
            </w:pPr>
            <w:r>
              <w:rPr>
                <w:rFonts w:hint="eastAsia" w:ascii="宋体" w:hAnsi="宋体" w:cs="宋体"/>
                <w:kern w:val="0"/>
                <w:sz w:val="24"/>
              </w:rPr>
              <w:t>7.属于行政执法案卷</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3154"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300" w:lineRule="exact"/>
              <w:jc w:val="left"/>
              <w:rPr>
                <w:rFonts w:ascii="宋体" w:hAnsi="宋体" w:cs="宋体"/>
                <w:kern w:val="0"/>
                <w:sz w:val="24"/>
              </w:rPr>
            </w:pPr>
            <w:r>
              <w:rPr>
                <w:rFonts w:hint="eastAsia" w:ascii="宋体" w:hAnsi="宋体" w:cs="宋体"/>
                <w:kern w:val="0"/>
                <w:sz w:val="24"/>
              </w:rPr>
              <w:t>8.属于行政查询事项</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1014"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spacing w:line="300" w:lineRule="exact"/>
              <w:jc w:val="left"/>
              <w:rPr>
                <w:rFonts w:ascii="宋体" w:hAnsi="宋体" w:cs="宋体"/>
                <w:kern w:val="0"/>
                <w:sz w:val="24"/>
              </w:rPr>
            </w:pPr>
            <w:r>
              <w:rPr>
                <w:rFonts w:hint="eastAsia" w:ascii="宋体" w:hAnsi="宋体" w:cs="宋体"/>
                <w:kern w:val="0"/>
                <w:sz w:val="24"/>
              </w:rPr>
              <w:t>（四）无法提供</w:t>
            </w:r>
          </w:p>
        </w:tc>
        <w:tc>
          <w:tcPr>
            <w:tcW w:w="3154"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300" w:lineRule="exact"/>
              <w:jc w:val="left"/>
              <w:rPr>
                <w:rFonts w:ascii="宋体" w:hAnsi="宋体" w:cs="宋体"/>
                <w:kern w:val="0"/>
                <w:sz w:val="24"/>
              </w:rPr>
            </w:pPr>
            <w:r>
              <w:rPr>
                <w:rFonts w:hint="eastAsia" w:ascii="宋体" w:hAnsi="宋体" w:cs="宋体"/>
                <w:kern w:val="0"/>
                <w:sz w:val="24"/>
              </w:rPr>
              <w:t>1.本机关不掌握相关政府信息</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hint="eastAsia" w:ascii="宋体" w:hAnsi="宋体" w:cs="宋体" w:eastAsiaTheme="minorEastAsia"/>
                <w:kern w:val="0"/>
                <w:sz w:val="24"/>
                <w:lang w:eastAsia="zh-CN"/>
              </w:rPr>
            </w:pPr>
            <w:r>
              <w:rPr>
                <w:rFonts w:hint="eastAsia" w:ascii="宋体" w:hAnsi="宋体" w:cs="宋体"/>
                <w:kern w:val="0"/>
                <w:sz w:val="24"/>
                <w:lang w:val="en-US" w:eastAsia="zh-CN"/>
              </w:rPr>
              <w:t>3</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rPr>
                <w:rFonts w:hint="eastAsia" w:eastAsiaTheme="minorEastAsia"/>
                <w:lang w:eastAsia="zh-CN"/>
              </w:rPr>
            </w:pPr>
            <w:r>
              <w:rPr>
                <w:rFonts w:hint="eastAsia" w:ascii="宋体" w:hAnsi="宋体" w:cs="宋体"/>
                <w:kern w:val="0"/>
                <w:sz w:val="24"/>
                <w:lang w:val="en-US" w:eastAsia="zh-CN"/>
              </w:rPr>
              <w:t>3</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3154"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300" w:lineRule="exact"/>
              <w:jc w:val="left"/>
              <w:rPr>
                <w:rFonts w:ascii="宋体" w:hAnsi="宋体" w:cs="宋体"/>
                <w:kern w:val="0"/>
                <w:sz w:val="24"/>
              </w:rPr>
            </w:pPr>
            <w:r>
              <w:rPr>
                <w:rFonts w:hint="eastAsia" w:ascii="宋体" w:hAnsi="宋体" w:cs="宋体"/>
                <w:kern w:val="0"/>
                <w:sz w:val="24"/>
              </w:rPr>
              <w:t>2.没有现成信息需要另行制作</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3154"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300" w:lineRule="exact"/>
              <w:jc w:val="left"/>
              <w:rPr>
                <w:rFonts w:ascii="宋体" w:hAnsi="宋体" w:cs="宋体"/>
                <w:kern w:val="0"/>
                <w:sz w:val="24"/>
              </w:rPr>
            </w:pPr>
            <w:r>
              <w:rPr>
                <w:rFonts w:hint="eastAsia" w:ascii="宋体" w:hAnsi="宋体" w:cs="宋体"/>
                <w:kern w:val="0"/>
                <w:sz w:val="24"/>
              </w:rPr>
              <w:t>3.补正后申请内容仍不明确</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1014"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spacing w:line="300" w:lineRule="exact"/>
              <w:jc w:val="left"/>
              <w:rPr>
                <w:rFonts w:ascii="宋体" w:hAnsi="宋体" w:cs="宋体"/>
                <w:kern w:val="0"/>
                <w:sz w:val="24"/>
              </w:rPr>
            </w:pPr>
            <w:r>
              <w:rPr>
                <w:rFonts w:hint="eastAsia" w:ascii="宋体" w:hAnsi="宋体" w:cs="宋体"/>
                <w:kern w:val="0"/>
                <w:sz w:val="24"/>
              </w:rPr>
              <w:t>（五）不予处理</w:t>
            </w:r>
          </w:p>
        </w:tc>
        <w:tc>
          <w:tcPr>
            <w:tcW w:w="3154"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300" w:lineRule="exact"/>
              <w:jc w:val="left"/>
              <w:rPr>
                <w:rFonts w:ascii="宋体" w:hAnsi="宋体" w:cs="宋体"/>
                <w:kern w:val="0"/>
                <w:sz w:val="24"/>
              </w:rPr>
            </w:pPr>
            <w:r>
              <w:rPr>
                <w:rFonts w:hint="eastAsia" w:ascii="宋体" w:hAnsi="宋体" w:cs="宋体"/>
                <w:kern w:val="0"/>
                <w:sz w:val="24"/>
              </w:rPr>
              <w:t>1.信访举报投诉类申请</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3154"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300" w:lineRule="exact"/>
              <w:jc w:val="left"/>
              <w:rPr>
                <w:rFonts w:ascii="宋体" w:hAnsi="宋体" w:cs="宋体"/>
                <w:kern w:val="0"/>
                <w:sz w:val="24"/>
              </w:rPr>
            </w:pPr>
            <w:r>
              <w:rPr>
                <w:rFonts w:hint="eastAsia" w:ascii="宋体" w:hAnsi="宋体" w:cs="宋体"/>
                <w:kern w:val="0"/>
                <w:sz w:val="24"/>
              </w:rPr>
              <w:t>2.重复申请</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3154"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300" w:lineRule="exact"/>
              <w:jc w:val="left"/>
              <w:rPr>
                <w:rFonts w:ascii="宋体" w:hAnsi="宋体" w:cs="宋体"/>
                <w:kern w:val="0"/>
                <w:sz w:val="24"/>
              </w:rPr>
            </w:pPr>
            <w:r>
              <w:rPr>
                <w:rFonts w:hint="eastAsia" w:ascii="宋体" w:hAnsi="宋体" w:cs="宋体"/>
                <w:kern w:val="0"/>
                <w:sz w:val="24"/>
              </w:rPr>
              <w:t>3.要求提供公开出版物</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3154" w:type="dxa"/>
            <w:tcBorders>
              <w:top w:val="nil"/>
              <w:left w:val="nil"/>
              <w:bottom w:val="single" w:color="auto" w:sz="8" w:space="0"/>
              <w:right w:val="single" w:color="auto" w:sz="8" w:space="0"/>
            </w:tcBorders>
            <w:tcMar>
              <w:top w:w="0" w:type="dxa"/>
              <w:left w:w="57" w:type="dxa"/>
              <w:bottom w:w="0" w:type="dxa"/>
              <w:right w:w="57" w:type="dxa"/>
            </w:tcMar>
          </w:tcPr>
          <w:p>
            <w:pPr>
              <w:widowControl/>
              <w:spacing w:line="300" w:lineRule="exact"/>
              <w:jc w:val="left"/>
              <w:rPr>
                <w:rFonts w:ascii="宋体" w:hAnsi="宋体" w:cs="宋体"/>
                <w:kern w:val="0"/>
                <w:sz w:val="24"/>
              </w:rPr>
            </w:pPr>
            <w:r>
              <w:rPr>
                <w:rFonts w:hint="eastAsia" w:ascii="宋体" w:hAnsi="宋体" w:cs="宋体"/>
                <w:kern w:val="0"/>
                <w:sz w:val="24"/>
              </w:rPr>
              <w:t>4.无正当理由大量反复申请</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0" w:type="auto"/>
            <w:vMerge w:val="continue"/>
            <w:tcBorders>
              <w:top w:val="nil"/>
              <w:left w:val="nil"/>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3154"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spacing w:line="300" w:lineRule="exact"/>
              <w:rPr>
                <w:rFonts w:ascii="宋体" w:hAnsi="宋体" w:cs="宋体"/>
                <w:kern w:val="0"/>
                <w:sz w:val="24"/>
              </w:rPr>
            </w:pPr>
            <w:r>
              <w:rPr>
                <w:rFonts w:hint="eastAsia" w:ascii="宋体" w:hAnsi="宋体" w:cs="宋体"/>
                <w:kern w:val="0"/>
                <w:sz w:val="24"/>
              </w:rPr>
              <w:t>5.要求行政机关确认或重新出具已获取信息</w:t>
            </w:r>
          </w:p>
        </w:tc>
        <w:tc>
          <w:tcPr>
            <w:tcW w:w="68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86" w:type="dxa"/>
            <w:tcBorders>
              <w:top w:val="nil"/>
              <w:left w:val="nil"/>
              <w:bottom w:val="inset"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inset"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inset"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inset"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inset"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inset"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1014"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spacing w:line="300" w:lineRule="exact"/>
              <w:jc w:val="left"/>
              <w:rPr>
                <w:rFonts w:ascii="宋体" w:hAnsi="宋体" w:cs="宋体"/>
                <w:kern w:val="0"/>
                <w:sz w:val="24"/>
              </w:rPr>
            </w:pPr>
            <w:r>
              <w:rPr>
                <w:rFonts w:hint="eastAsia" w:ascii="宋体" w:hAnsi="宋体" w:cs="宋体"/>
                <w:kern w:val="0"/>
                <w:sz w:val="24"/>
              </w:rPr>
              <w:t>（六）其他处理</w:t>
            </w:r>
          </w:p>
        </w:tc>
        <w:tc>
          <w:tcPr>
            <w:tcW w:w="315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rPr>
                <w:rFonts w:ascii="宋体" w:hAnsi="宋体" w:cs="宋体"/>
                <w:kern w:val="0"/>
                <w:sz w:val="24"/>
              </w:rPr>
            </w:pPr>
            <w:r>
              <w:rPr>
                <w:rFonts w:hint="eastAsia" w:ascii="宋体" w:hAnsi="宋体" w:cs="宋体"/>
                <w:kern w:val="0"/>
                <w:sz w:val="24"/>
              </w:rPr>
              <w:t>1.申请人无正当理由逾期不补正、行政机关不再处理其政府信息公开申请</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315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rPr>
                <w:rFonts w:ascii="宋体" w:hAnsi="宋体" w:cs="宋体"/>
                <w:kern w:val="0"/>
                <w:sz w:val="24"/>
              </w:rPr>
            </w:pPr>
            <w:r>
              <w:rPr>
                <w:rFonts w:hint="eastAsia" w:ascii="宋体" w:hAnsi="宋体" w:cs="宋体"/>
                <w:kern w:val="0"/>
                <w:sz w:val="24"/>
              </w:rPr>
              <w:t>2.申请人逾期未按收费通知要求缴纳费用、行政机关不再处理其政府信息公开申请</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315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left"/>
              <w:rPr>
                <w:rFonts w:ascii="宋体" w:hAnsi="宋体" w:cs="宋体"/>
                <w:kern w:val="0"/>
                <w:sz w:val="24"/>
              </w:rPr>
            </w:pPr>
            <w:r>
              <w:rPr>
                <w:rFonts w:hint="eastAsia" w:ascii="宋体" w:hAnsi="宋体" w:cs="宋体"/>
                <w:kern w:val="0"/>
                <w:sz w:val="24"/>
              </w:rPr>
              <w:t>3.其他</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spacing w:line="300" w:lineRule="exact"/>
              <w:jc w:val="left"/>
              <w:rPr>
                <w:rFonts w:ascii="宋体" w:hAnsi="宋体" w:cs="宋体"/>
                <w:kern w:val="0"/>
                <w:sz w:val="24"/>
              </w:rPr>
            </w:pPr>
          </w:p>
        </w:tc>
        <w:tc>
          <w:tcPr>
            <w:tcW w:w="4168"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left"/>
              <w:rPr>
                <w:rFonts w:ascii="宋体" w:hAnsi="宋体" w:cs="宋体"/>
                <w:kern w:val="0"/>
                <w:sz w:val="24"/>
              </w:rPr>
            </w:pPr>
            <w:r>
              <w:rPr>
                <w:rFonts w:hint="eastAsia" w:ascii="宋体" w:hAnsi="宋体" w:cs="宋体"/>
                <w:kern w:val="0"/>
                <w:sz w:val="24"/>
              </w:rPr>
              <w:t>（七）总计</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hint="eastAsia" w:ascii="宋体" w:hAnsi="宋体" w:cs="宋体" w:eastAsiaTheme="minorEastAsia"/>
                <w:kern w:val="0"/>
                <w:sz w:val="24"/>
                <w:lang w:eastAsia="zh-CN"/>
              </w:rPr>
            </w:pPr>
            <w:r>
              <w:rPr>
                <w:rFonts w:hint="eastAsia" w:ascii="宋体" w:hAnsi="宋体" w:cs="宋体"/>
                <w:kern w:val="0"/>
                <w:sz w:val="24"/>
                <w:lang w:val="en-US" w:eastAsia="zh-CN"/>
              </w:rPr>
              <w:t>3</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rPr>
                <w:rFonts w:hint="eastAsia" w:eastAsiaTheme="minorEastAsia"/>
                <w:lang w:eastAsia="zh-CN"/>
              </w:rPr>
            </w:pPr>
            <w:r>
              <w:rPr>
                <w:rFonts w:hint="eastAsia" w:ascii="宋体" w:hAnsi="宋体" w:cs="宋体"/>
                <w:kern w:val="0"/>
                <w:sz w:val="24"/>
                <w:lang w:val="en-US" w:eastAsia="zh-CN"/>
              </w:rPr>
              <w:t>3</w:t>
            </w:r>
          </w:p>
        </w:tc>
      </w:tr>
      <w:tr>
        <w:tblPrEx>
          <w:tblCellMar>
            <w:top w:w="0" w:type="dxa"/>
            <w:left w:w="0" w:type="dxa"/>
            <w:bottom w:w="0" w:type="dxa"/>
            <w:right w:w="0" w:type="dxa"/>
          </w:tblCellMar>
        </w:tblPrEx>
        <w:trPr>
          <w:jc w:val="center"/>
        </w:trPr>
        <w:tc>
          <w:tcPr>
            <w:tcW w:w="4946"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spacing w:line="300" w:lineRule="exact"/>
              <w:jc w:val="left"/>
              <w:rPr>
                <w:rFonts w:ascii="宋体" w:hAnsi="宋体" w:cs="宋体"/>
                <w:kern w:val="0"/>
                <w:sz w:val="24"/>
              </w:rPr>
            </w:pPr>
            <w:r>
              <w:rPr>
                <w:rFonts w:hint="eastAsia" w:ascii="宋体" w:hAnsi="宋体" w:cs="宋体"/>
                <w:kern w:val="0"/>
                <w:sz w:val="24"/>
              </w:rPr>
              <w:t>四、结转下年度继续办理</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c>
          <w:tcPr>
            <w:tcW w:w="68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宋体" w:hAnsi="宋体" w:cs="宋体"/>
                <w:kern w:val="0"/>
                <w:sz w:val="24"/>
              </w:rPr>
              <w:t>0</w:t>
            </w:r>
          </w:p>
        </w:tc>
      </w:tr>
    </w:tbl>
    <w:p>
      <w:pPr>
        <w:widowControl/>
        <w:shd w:val="clear" w:color="auto" w:fill="FFFFFF"/>
        <w:spacing w:line="400" w:lineRule="exact"/>
        <w:jc w:val="center"/>
        <w:rPr>
          <w:rFonts w:ascii="宋体" w:hAnsi="宋体" w:cs="宋体"/>
          <w:color w:val="333333"/>
          <w:kern w:val="0"/>
          <w:sz w:val="30"/>
          <w:szCs w:val="30"/>
        </w:rPr>
      </w:pPr>
    </w:p>
    <w:p>
      <w:pPr>
        <w:widowControl/>
        <w:shd w:val="clear" w:color="auto" w:fill="FFFFFF"/>
        <w:ind w:firstLine="672" w:firstLineChars="210"/>
        <w:rPr>
          <w:rFonts w:ascii="方正黑体_GBK" w:hAnsi="宋体" w:eastAsia="方正黑体_GBK" w:cs="宋体"/>
          <w:bCs/>
          <w:color w:val="333333"/>
          <w:kern w:val="0"/>
          <w:sz w:val="32"/>
          <w:szCs w:val="32"/>
        </w:rPr>
      </w:pPr>
      <w:r>
        <w:rPr>
          <w:rFonts w:hint="eastAsia" w:ascii="方正黑体_GBK" w:hAnsi="宋体" w:eastAsia="方正黑体_GBK" w:cs="宋体"/>
          <w:bCs/>
          <w:color w:val="333333"/>
          <w:kern w:val="0"/>
          <w:sz w:val="32"/>
          <w:szCs w:val="32"/>
        </w:rPr>
        <w:t>四、政府信息公开行政复议、行政诉讼情况</w:t>
      </w:r>
    </w:p>
    <w:p>
      <w:pPr>
        <w:widowControl/>
        <w:shd w:val="clear" w:color="auto" w:fill="FFFFFF"/>
        <w:spacing w:line="400" w:lineRule="exact"/>
        <w:jc w:val="center"/>
        <w:rPr>
          <w:rFonts w:ascii="宋体" w:hAnsi="宋体" w:cs="宋体"/>
          <w:color w:val="333333"/>
          <w:kern w:val="0"/>
          <w:sz w:val="30"/>
          <w:szCs w:val="30"/>
        </w:rPr>
      </w:pPr>
    </w:p>
    <w:tbl>
      <w:tblPr>
        <w:tblStyle w:val="6"/>
        <w:tblW w:w="9748" w:type="dxa"/>
        <w:jc w:val="center"/>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行政复议</w:t>
            </w:r>
          </w:p>
        </w:tc>
        <w:tc>
          <w:tcPr>
            <w:tcW w:w="649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行政诉讼</w:t>
            </w:r>
          </w:p>
        </w:tc>
      </w:tr>
      <w:tr>
        <w:tblPrEx>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结果维持</w:t>
            </w:r>
          </w:p>
        </w:tc>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结果</w:t>
            </w:r>
            <w:r>
              <w:rPr>
                <w:rFonts w:hint="eastAsia" w:ascii="宋体" w:hAnsi="宋体" w:cs="宋体"/>
                <w:kern w:val="0"/>
                <w:sz w:val="24"/>
              </w:rPr>
              <w:br w:type="textWrapping"/>
            </w:r>
            <w:r>
              <w:rPr>
                <w:rFonts w:hint="eastAsia" w:ascii="宋体" w:hAnsi="宋体" w:cs="宋体"/>
                <w:kern w:val="0"/>
                <w:sz w:val="24"/>
              </w:rPr>
              <w:t>纠正</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其他</w:t>
            </w:r>
            <w:r>
              <w:rPr>
                <w:rFonts w:hint="eastAsia" w:ascii="宋体" w:hAnsi="宋体" w:cs="宋体"/>
                <w:kern w:val="0"/>
                <w:sz w:val="24"/>
              </w:rPr>
              <w:br w:type="textWrapping"/>
            </w:r>
            <w:r>
              <w:rPr>
                <w:rFonts w:hint="eastAsia" w:ascii="宋体" w:hAnsi="宋体" w:cs="宋体"/>
                <w:kern w:val="0"/>
                <w:sz w:val="24"/>
              </w:rPr>
              <w:t>结果</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尚未</w:t>
            </w:r>
            <w:r>
              <w:rPr>
                <w:rFonts w:hint="eastAsia" w:ascii="宋体" w:hAnsi="宋体" w:cs="宋体"/>
                <w:kern w:val="0"/>
                <w:sz w:val="24"/>
              </w:rPr>
              <w:br w:type="textWrapping"/>
            </w:r>
            <w:r>
              <w:rPr>
                <w:rFonts w:hint="eastAsia" w:ascii="宋体" w:hAnsi="宋体" w:cs="宋体"/>
                <w:kern w:val="0"/>
                <w:sz w:val="24"/>
              </w:rPr>
              <w:t>审结</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cs="宋体"/>
                <w:kern w:val="0"/>
                <w:sz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cs="宋体"/>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spacing w:line="300" w:lineRule="exact"/>
              <w:jc w:val="left"/>
              <w:rPr>
                <w:rFonts w:ascii="宋体" w:hAnsi="宋体" w:cs="宋体"/>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spacing w:line="300" w:lineRule="exact"/>
              <w:jc w:val="left"/>
              <w:rPr>
                <w:rFonts w:ascii="宋体" w:hAnsi="宋体" w:cs="宋体"/>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spacing w:line="300" w:lineRule="exact"/>
              <w:jc w:val="left"/>
              <w:rPr>
                <w:rFonts w:ascii="宋体" w:hAnsi="宋体" w:cs="宋体"/>
                <w:kern w:val="0"/>
                <w:sz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结果</w:t>
            </w:r>
            <w:r>
              <w:rPr>
                <w:rFonts w:hint="eastAsia" w:ascii="宋体" w:hAnsi="宋体" w:cs="宋体"/>
                <w:kern w:val="0"/>
                <w:sz w:val="24"/>
              </w:rPr>
              <w:br w:type="textWrapping"/>
            </w:r>
            <w:r>
              <w:rPr>
                <w:rFonts w:hint="eastAsia" w:ascii="宋体" w:hAnsi="宋体" w:cs="宋体"/>
                <w:kern w:val="0"/>
                <w:sz w:val="24"/>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结果</w:t>
            </w:r>
            <w:r>
              <w:rPr>
                <w:rFonts w:hint="eastAsia" w:ascii="宋体" w:hAnsi="宋体" w:cs="宋体"/>
                <w:kern w:val="0"/>
                <w:sz w:val="24"/>
              </w:rPr>
              <w:br w:type="textWrapping"/>
            </w:r>
            <w:r>
              <w:rPr>
                <w:rFonts w:hint="eastAsia" w:ascii="宋体" w:hAnsi="宋体" w:cs="宋体"/>
                <w:kern w:val="0"/>
                <w:sz w:val="24"/>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其他</w:t>
            </w:r>
            <w:r>
              <w:rPr>
                <w:rFonts w:hint="eastAsia" w:ascii="宋体" w:hAnsi="宋体" w:cs="宋体"/>
                <w:kern w:val="0"/>
                <w:sz w:val="24"/>
              </w:rPr>
              <w:br w:type="textWrapping"/>
            </w:r>
            <w:r>
              <w:rPr>
                <w:rFonts w:hint="eastAsia" w:ascii="宋体" w:hAnsi="宋体" w:cs="宋体"/>
                <w:kern w:val="0"/>
                <w:sz w:val="24"/>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尚未</w:t>
            </w:r>
            <w:r>
              <w:rPr>
                <w:rFonts w:hint="eastAsia" w:ascii="宋体" w:hAnsi="宋体" w:cs="宋体"/>
                <w:kern w:val="0"/>
                <w:sz w:val="24"/>
              </w:rPr>
              <w:br w:type="textWrapping"/>
            </w:r>
            <w:r>
              <w:rPr>
                <w:rFonts w:hint="eastAsia" w:ascii="宋体" w:hAnsi="宋体" w:cs="宋体"/>
                <w:kern w:val="0"/>
                <w:sz w:val="24"/>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exact"/>
              <w:jc w:val="center"/>
              <w:rPr>
                <w:rFonts w:ascii="宋体" w:hAnsi="宋体" w:cs="宋体"/>
                <w:kern w:val="0"/>
                <w:sz w:val="24"/>
              </w:rPr>
            </w:pPr>
            <w:r>
              <w:rPr>
                <w:rFonts w:hint="eastAsia" w:ascii="宋体" w:hAnsi="宋体" w:cs="宋体"/>
                <w:color w:val="000000"/>
                <w:kern w:val="0"/>
                <w:sz w:val="24"/>
              </w:rPr>
              <w:t>总计</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结果</w:t>
            </w:r>
            <w:r>
              <w:rPr>
                <w:rFonts w:hint="eastAsia" w:ascii="宋体" w:hAnsi="宋体" w:cs="宋体"/>
                <w:kern w:val="0"/>
                <w:sz w:val="24"/>
              </w:rPr>
              <w:br w:type="textWrapping"/>
            </w:r>
            <w:r>
              <w:rPr>
                <w:rFonts w:hint="eastAsia" w:ascii="宋体" w:hAnsi="宋体" w:cs="宋体"/>
                <w:kern w:val="0"/>
                <w:sz w:val="24"/>
              </w:rPr>
              <w:t>维持</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结果</w:t>
            </w:r>
            <w:r>
              <w:rPr>
                <w:rFonts w:hint="eastAsia" w:ascii="宋体" w:hAnsi="宋体" w:cs="宋体"/>
                <w:kern w:val="0"/>
                <w:sz w:val="24"/>
              </w:rPr>
              <w:br w:type="textWrapping"/>
            </w:r>
            <w:r>
              <w:rPr>
                <w:rFonts w:hint="eastAsia" w:ascii="宋体" w:hAnsi="宋体" w:cs="宋体"/>
                <w:kern w:val="0"/>
                <w:sz w:val="24"/>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exact"/>
              <w:jc w:val="center"/>
              <w:rPr>
                <w:rFonts w:ascii="宋体" w:hAnsi="宋体" w:cs="宋体"/>
                <w:kern w:val="0"/>
                <w:sz w:val="24"/>
              </w:rPr>
            </w:pPr>
            <w:r>
              <w:rPr>
                <w:rFonts w:hint="eastAsia" w:ascii="宋体" w:hAnsi="宋体" w:cs="宋体"/>
                <w:color w:val="000000"/>
                <w:kern w:val="0"/>
                <w:sz w:val="24"/>
              </w:rPr>
              <w:t>其他</w:t>
            </w:r>
            <w:r>
              <w:rPr>
                <w:rFonts w:hint="eastAsia" w:ascii="宋体" w:hAnsi="宋体" w:cs="宋体"/>
                <w:color w:val="000000"/>
                <w:kern w:val="0"/>
                <w:sz w:val="24"/>
              </w:rPr>
              <w:br w:type="textWrapping"/>
            </w:r>
            <w:r>
              <w:rPr>
                <w:rFonts w:hint="eastAsia" w:ascii="宋体" w:hAnsi="宋体" w:cs="宋体"/>
                <w:color w:val="000000"/>
                <w:kern w:val="0"/>
                <w:sz w:val="24"/>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尚未</w:t>
            </w:r>
            <w:r>
              <w:rPr>
                <w:rFonts w:hint="eastAsia" w:ascii="宋体" w:hAnsi="宋体" w:cs="宋体"/>
                <w:kern w:val="0"/>
                <w:sz w:val="24"/>
              </w:rPr>
              <w:br w:type="textWrapping"/>
            </w:r>
            <w:r>
              <w:rPr>
                <w:rFonts w:hint="eastAsia" w:ascii="宋体" w:hAnsi="宋体" w:cs="宋体"/>
                <w:kern w:val="0"/>
                <w:sz w:val="24"/>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exact"/>
              <w:jc w:val="center"/>
              <w:rPr>
                <w:rFonts w:ascii="宋体" w:hAnsi="宋体" w:cs="宋体"/>
                <w:kern w:val="0"/>
                <w:sz w:val="24"/>
              </w:rPr>
            </w:pPr>
            <w:r>
              <w:rPr>
                <w:rFonts w:hint="eastAsia" w:ascii="宋体" w:hAnsi="宋体" w:cs="宋体"/>
                <w:color w:val="000000"/>
                <w:kern w:val="0"/>
                <w:sz w:val="24"/>
              </w:rPr>
              <w:t>总计</w:t>
            </w:r>
          </w:p>
        </w:tc>
      </w:tr>
      <w:tr>
        <w:tblPrEx>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kern w:val="0"/>
                <w:sz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kern w:val="0"/>
                <w:sz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kern w:val="0"/>
                <w:sz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kern w:val="0"/>
                <w:sz w:val="24"/>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kern w:val="0"/>
                <w:sz w:val="24"/>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kern w:val="0"/>
                <w:sz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kern w:val="0"/>
                <w:sz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kern w:val="0"/>
                <w:sz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kern w:val="0"/>
                <w:sz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kern w:val="0"/>
                <w:sz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kern w:val="0"/>
                <w:sz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kern w:val="0"/>
                <w:sz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exact"/>
              <w:jc w:val="center"/>
              <w:rPr>
                <w:rFonts w:ascii="宋体" w:hAnsi="宋体" w:cs="宋体"/>
                <w:kern w:val="0"/>
                <w:sz w:val="24"/>
              </w:rPr>
            </w:pPr>
            <w:r>
              <w:rPr>
                <w:rFonts w:hint="eastAsia" w:ascii="宋体" w:hAnsi="宋体" w:cs="宋体"/>
                <w:kern w:val="0"/>
                <w:sz w:val="24"/>
              </w:rPr>
              <w:t>0</w:t>
            </w:r>
          </w:p>
        </w:tc>
      </w:tr>
    </w:tbl>
    <w:p>
      <w:pPr>
        <w:widowControl/>
        <w:shd w:val="clear" w:color="auto" w:fill="FFFFFF"/>
        <w:ind w:firstLine="672" w:firstLineChars="210"/>
        <w:rPr>
          <w:rFonts w:ascii="方正黑体_GBK" w:hAnsi="宋体" w:eastAsia="方正黑体_GBK" w:cs="宋体"/>
          <w:bCs/>
          <w:color w:val="333333"/>
          <w:kern w:val="0"/>
          <w:sz w:val="32"/>
          <w:szCs w:val="32"/>
        </w:rPr>
      </w:pPr>
      <w:r>
        <w:rPr>
          <w:rFonts w:hint="eastAsia" w:ascii="方正黑体_GBK" w:hAnsi="宋体" w:eastAsia="方正黑体_GBK" w:cs="宋体"/>
          <w:bCs/>
          <w:color w:val="333333"/>
          <w:kern w:val="0"/>
          <w:sz w:val="32"/>
          <w:szCs w:val="32"/>
        </w:rPr>
        <w:t>五、存在的主要问题及改进情况</w:t>
      </w:r>
    </w:p>
    <w:p>
      <w:pPr>
        <w:widowControl/>
        <w:shd w:val="clear" w:color="auto" w:fill="FFFFFF"/>
        <w:ind w:firstLine="672" w:firstLineChars="21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（一）存在主要问题</w:t>
      </w:r>
    </w:p>
    <w:p>
      <w:pPr>
        <w:widowControl/>
        <w:shd w:val="clear" w:color="auto" w:fill="FFFFFF"/>
        <w:ind w:firstLine="672" w:firstLineChars="21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部分信息公开不够及时。</w:t>
      </w:r>
    </w:p>
    <w:p>
      <w:pPr>
        <w:widowControl/>
        <w:shd w:val="clear" w:color="auto" w:fill="FFFFFF"/>
        <w:ind w:firstLine="672" w:firstLineChars="21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（二）改进情况</w:t>
      </w:r>
    </w:p>
    <w:p>
      <w:pPr>
        <w:widowControl/>
        <w:shd w:val="clear" w:color="auto" w:fill="FFFFFF"/>
        <w:ind w:firstLine="672" w:firstLineChars="21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针对问题，采取了以下措施：一是专题召开办公会学习《中华人民共和国政府信息公开条例》，对信息公开工作进行了安排部署，加强宣传教育，提高认识。二是落实责任，加强与政府办沟通协调，把政府信息公开工作落到实处。三是健全完善信息公开制度，规范和完善政府信息公开的内容、形式，对涉及公众关心的重大问题、重大决策应该公开的及时公开。同时，加强对政策解读的审核，进一步提高了政策解读的针对性、实效性。</w:t>
      </w:r>
    </w:p>
    <w:p>
      <w:pPr>
        <w:widowControl/>
        <w:shd w:val="clear" w:color="auto" w:fill="FFFFFF"/>
        <w:ind w:firstLine="672" w:firstLineChars="210"/>
        <w:rPr>
          <w:rFonts w:ascii="方正黑体_GBK" w:hAnsi="宋体" w:eastAsia="方正黑体_GBK" w:cs="宋体"/>
          <w:bCs/>
          <w:color w:val="333333"/>
          <w:kern w:val="0"/>
          <w:sz w:val="32"/>
          <w:szCs w:val="32"/>
        </w:rPr>
      </w:pPr>
      <w:r>
        <w:rPr>
          <w:rFonts w:hint="eastAsia" w:ascii="方正黑体_GBK" w:hAnsi="宋体" w:eastAsia="方正黑体_GBK" w:cs="宋体"/>
          <w:bCs/>
          <w:color w:val="333333"/>
          <w:kern w:val="0"/>
          <w:sz w:val="32"/>
          <w:szCs w:val="32"/>
        </w:rPr>
        <w:t>六、其他需要报告的事项</w:t>
      </w:r>
    </w:p>
    <w:p>
      <w:pPr>
        <w:spacing w:line="560" w:lineRule="exact"/>
        <w:ind w:firstLine="640" w:firstLineChars="200"/>
        <w:rPr>
          <w:rFonts w:ascii="仿宋_GB2312" w:eastAsia="仿宋_GB2312"/>
          <w:color w:val="4E4E4E"/>
          <w:sz w:val="32"/>
          <w:szCs w:val="32"/>
        </w:rPr>
      </w:pPr>
      <w:r>
        <w:rPr>
          <w:rFonts w:hint="eastAsia" w:ascii="仿宋_GB2312" w:eastAsia="仿宋_GB2312"/>
          <w:color w:val="4E4E4E"/>
          <w:sz w:val="32"/>
          <w:szCs w:val="32"/>
          <w:lang w:val="en-US" w:eastAsia="zh-CN"/>
        </w:rPr>
        <w:t>2023年，</w:t>
      </w:r>
      <w:r>
        <w:rPr>
          <w:rFonts w:hint="eastAsia" w:ascii="仿宋_GB2312" w:eastAsia="仿宋_GB2312"/>
          <w:color w:val="4E4E4E"/>
          <w:sz w:val="32"/>
          <w:szCs w:val="32"/>
        </w:rPr>
        <w:t>本单位无收取信息处理费情况。</w:t>
      </w:r>
    </w:p>
    <w:p>
      <w:pPr>
        <w:spacing w:line="560" w:lineRule="exact"/>
        <w:ind w:firstLine="640" w:firstLineChars="200"/>
        <w:rPr>
          <w:rFonts w:ascii="仿宋_GB2312" w:eastAsia="仿宋_GB2312"/>
          <w:color w:val="4E4E4E"/>
          <w:sz w:val="32"/>
          <w:szCs w:val="32"/>
        </w:rPr>
      </w:pPr>
      <w:r>
        <w:rPr>
          <w:rFonts w:hint="eastAsia" w:ascii="仿宋_GB2312" w:eastAsia="仿宋_GB2312"/>
          <w:color w:val="4E4E4E"/>
          <w:sz w:val="32"/>
          <w:szCs w:val="32"/>
        </w:rPr>
        <w:t xml:space="preserve">                              </w:t>
      </w:r>
    </w:p>
    <w:p>
      <w:pPr>
        <w:spacing w:line="560" w:lineRule="exact"/>
        <w:ind w:firstLine="5600" w:firstLineChars="1750"/>
        <w:rPr>
          <w:rFonts w:ascii="仿宋_GB2312" w:eastAsia="仿宋_GB2312"/>
          <w:color w:val="4E4E4E"/>
          <w:sz w:val="32"/>
          <w:szCs w:val="32"/>
        </w:rPr>
      </w:pPr>
      <w:r>
        <w:rPr>
          <w:rFonts w:hint="eastAsia" w:ascii="仿宋_GB2312" w:eastAsia="仿宋_GB2312"/>
          <w:color w:val="4E4E4E"/>
          <w:sz w:val="32"/>
          <w:szCs w:val="32"/>
        </w:rPr>
        <w:t>秦淮区发改委</w:t>
      </w:r>
    </w:p>
    <w:p>
      <w:pPr>
        <w:spacing w:line="560" w:lineRule="exact"/>
        <w:ind w:firstLine="640" w:firstLineChars="200"/>
      </w:pPr>
      <w:r>
        <w:rPr>
          <w:rFonts w:hint="eastAsia" w:ascii="仿宋_GB2312" w:eastAsia="仿宋_GB2312"/>
          <w:color w:val="4E4E4E"/>
          <w:sz w:val="32"/>
          <w:szCs w:val="32"/>
        </w:rPr>
        <w:t xml:space="preserve">                              202</w:t>
      </w:r>
      <w:r>
        <w:rPr>
          <w:rFonts w:hint="eastAsia" w:ascii="仿宋_GB2312" w:eastAsia="仿宋_GB2312"/>
          <w:color w:val="4E4E4E"/>
          <w:sz w:val="32"/>
          <w:szCs w:val="32"/>
          <w:lang w:val="en-US" w:eastAsia="zh-CN"/>
        </w:rPr>
        <w:t>4</w:t>
      </w:r>
      <w:r>
        <w:rPr>
          <w:rFonts w:hint="eastAsia" w:ascii="仿宋_GB2312" w:eastAsia="仿宋_GB2312"/>
          <w:color w:val="4E4E4E"/>
          <w:sz w:val="32"/>
          <w:szCs w:val="32"/>
        </w:rPr>
        <w:t>年1月1</w:t>
      </w:r>
      <w:r>
        <w:rPr>
          <w:rFonts w:hint="eastAsia" w:ascii="仿宋_GB2312" w:eastAsia="仿宋_GB2312"/>
          <w:color w:val="4E4E4E"/>
          <w:sz w:val="32"/>
          <w:szCs w:val="32"/>
          <w:lang w:val="en-US" w:eastAsia="zh-CN"/>
        </w:rPr>
        <w:t>9</w:t>
      </w:r>
      <w:r>
        <w:rPr>
          <w:rFonts w:hint="eastAsia" w:ascii="仿宋_GB2312" w:eastAsia="仿宋_GB2312"/>
          <w:color w:val="4E4E4E"/>
          <w:sz w:val="32"/>
          <w:szCs w:val="32"/>
        </w:rPr>
        <w:t>日</w:t>
      </w:r>
    </w:p>
    <w:sectPr>
      <w:footerReference r:id="rId3" w:type="default"/>
      <w:pgSz w:w="11906" w:h="16838"/>
      <w:pgMar w:top="1701"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E76D040-4260-41F1-99CE-FFDA19831898}"/>
  </w:font>
  <w:font w:name="方正小标宋_GBK">
    <w:panose1 w:val="02000000000000000000"/>
    <w:charset w:val="86"/>
    <w:family w:val="script"/>
    <w:pitch w:val="default"/>
    <w:sig w:usb0="A00002BF" w:usb1="38CF7CFA" w:usb2="00082016" w:usb3="00000000" w:csb0="00040001" w:csb1="00000000"/>
    <w:embedRegular r:id="rId2" w:fontKey="{01622382-9388-40BA-9CF0-FD6BC087D7C4}"/>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embedRegular r:id="rId3" w:fontKey="{ABF1205E-7C0B-4820-ACD5-230E861CA375}"/>
  </w:font>
  <w:font w:name="方正仿宋_GBK">
    <w:panose1 w:val="02000000000000000000"/>
    <w:charset w:val="86"/>
    <w:family w:val="script"/>
    <w:pitch w:val="default"/>
    <w:sig w:usb0="A00002BF" w:usb1="38CF7CFA" w:usb2="00082016" w:usb3="00000000" w:csb0="00040001" w:csb1="00000000"/>
    <w:embedRegular r:id="rId4" w:fontKey="{8B93E883-B56F-4B70-852B-4F5E73AB6D68}"/>
  </w:font>
  <w:font w:name="楷体">
    <w:panose1 w:val="02010609060101010101"/>
    <w:charset w:val="86"/>
    <w:family w:val="modern"/>
    <w:pitch w:val="default"/>
    <w:sig w:usb0="800002BF" w:usb1="38CF7CFA" w:usb2="00000016" w:usb3="00000000" w:csb0="00040001" w:csb1="00000000"/>
    <w:embedRegular r:id="rId5" w:fontKey="{B53B7316-D8BF-4A7F-BE16-C0C49F3F3DE5}"/>
  </w:font>
  <w:font w:name="仿宋_GB2312">
    <w:panose1 w:val="02010609030101010101"/>
    <w:charset w:val="86"/>
    <w:family w:val="modern"/>
    <w:pitch w:val="default"/>
    <w:sig w:usb0="00000001" w:usb1="080E0000" w:usb2="00000000" w:usb3="00000000" w:csb0="00040000" w:csb1="00000000"/>
    <w:embedRegular r:id="rId6" w:fontKey="{139A0191-FFCE-47FA-A575-DB4831D5BE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4073126"/>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Njk4MzQ1ZmI0ZGM3MmQwMTE1MGE5NjA4ODdkMDQifQ=="/>
  </w:docVars>
  <w:rsids>
    <w:rsidRoot w:val="511E3183"/>
    <w:rsid w:val="00062C61"/>
    <w:rsid w:val="0014226D"/>
    <w:rsid w:val="001700B3"/>
    <w:rsid w:val="00352E8B"/>
    <w:rsid w:val="0037476D"/>
    <w:rsid w:val="003769B3"/>
    <w:rsid w:val="00423A06"/>
    <w:rsid w:val="00465B7A"/>
    <w:rsid w:val="004E5CA0"/>
    <w:rsid w:val="004F355A"/>
    <w:rsid w:val="005A3FE9"/>
    <w:rsid w:val="005C2F4E"/>
    <w:rsid w:val="005D1A07"/>
    <w:rsid w:val="005D77A5"/>
    <w:rsid w:val="006B4242"/>
    <w:rsid w:val="006C752B"/>
    <w:rsid w:val="00737697"/>
    <w:rsid w:val="009002CE"/>
    <w:rsid w:val="009F0DDB"/>
    <w:rsid w:val="00A609D8"/>
    <w:rsid w:val="00A65BB8"/>
    <w:rsid w:val="00B524E8"/>
    <w:rsid w:val="00B926C9"/>
    <w:rsid w:val="00BB3511"/>
    <w:rsid w:val="00CA6AF3"/>
    <w:rsid w:val="00CE66A7"/>
    <w:rsid w:val="00DB32DF"/>
    <w:rsid w:val="00DD62E3"/>
    <w:rsid w:val="00E068C1"/>
    <w:rsid w:val="00E80AB9"/>
    <w:rsid w:val="00EE4861"/>
    <w:rsid w:val="00EF6A1C"/>
    <w:rsid w:val="00F774D3"/>
    <w:rsid w:val="24A93ECA"/>
    <w:rsid w:val="3A437065"/>
    <w:rsid w:val="3CDF7BAD"/>
    <w:rsid w:val="4C066EB2"/>
    <w:rsid w:val="511E3183"/>
    <w:rsid w:val="686523A0"/>
    <w:rsid w:val="7EC0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0"/>
    <w:autoRedefine/>
    <w:qFormat/>
    <w:uiPriority w:val="0"/>
    <w:pPr>
      <w:ind w:left="100" w:leftChars="2500"/>
    </w:pPr>
  </w:style>
  <w:style w:type="paragraph" w:styleId="3">
    <w:name w:val="Balloon Text"/>
    <w:basedOn w:val="1"/>
    <w:link w:val="11"/>
    <w:autoRedefine/>
    <w:qFormat/>
    <w:uiPriority w:val="0"/>
    <w:rPr>
      <w:sz w:val="18"/>
      <w:szCs w:val="18"/>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autoRedefine/>
    <w:qFormat/>
    <w:uiPriority w:val="0"/>
    <w:rPr>
      <w:kern w:val="2"/>
      <w:sz w:val="18"/>
      <w:szCs w:val="18"/>
    </w:rPr>
  </w:style>
  <w:style w:type="character" w:customStyle="1" w:styleId="10">
    <w:name w:val="日期 Char"/>
    <w:basedOn w:val="8"/>
    <w:link w:val="2"/>
    <w:autoRedefine/>
    <w:qFormat/>
    <w:uiPriority w:val="0"/>
    <w:rPr>
      <w:kern w:val="2"/>
      <w:sz w:val="21"/>
      <w:szCs w:val="22"/>
    </w:rPr>
  </w:style>
  <w:style w:type="character" w:customStyle="1" w:styleId="11">
    <w:name w:val="批注框文本 Char"/>
    <w:basedOn w:val="8"/>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C5D18-8D71-40FB-A4CD-CC365FC396F9}">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311</Words>
  <Characters>1779</Characters>
  <Lines>14</Lines>
  <Paragraphs>4</Paragraphs>
  <TotalTime>347</TotalTime>
  <ScaleCrop>false</ScaleCrop>
  <LinksUpToDate>false</LinksUpToDate>
  <CharactersWithSpaces>2086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2023-01-03T10:52:00Z</dcterms:created>
  <dc:creator>琳琅满目</dc:creator>
  <cp:lastModifiedBy>刘炬</cp:lastModifiedBy>
  <cp:lastPrinted>2023-01-11T10:53:00Z</cp:lastPrinted>
  <dcterms:modified xsi:type="dcterms:W3CDTF">2024-01-23T12:34:23Z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SaveFontToCloudKey">
    <vt:lpwstr>0_btnclosed</vt:lpwstr>
  </property>
  <property fmtid="{D5CDD505-2E9C-101B-9397-08002B2CF9AE}" pid="4" name="ICV">
    <vt:lpwstr>CECF8BCA1EF1425AB7D2A4449BBB422A_13</vt:lpwstr>
  </property>
</Properties>
</file>