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南京市秦淮区政府办公室</w:t>
      </w:r>
      <w:r>
        <w:rPr>
          <w:rFonts w:hint="eastAsia" w:ascii="方正小标宋_GBK" w:hAnsi="方正小标宋_GBK" w:eastAsia="方正小标宋_GBK" w:cs="方正小标宋_GBK"/>
          <w:sz w:val="44"/>
          <w:szCs w:val="44"/>
          <w:lang w:val="en-US" w:eastAsia="zh-CN"/>
        </w:rPr>
        <w:t>2019年度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政府信息公开工作报告</w:t>
      </w:r>
      <w:bookmarkStart w:id="2" w:name="_GoBack"/>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420"/>
        <w:rPr>
          <w:rFonts w:hint="eastAsia" w:ascii="方正仿宋_GBK" w:hAnsi="方正仿宋_GBK" w:eastAsia="方正仿宋_GBK" w:cs="方正仿宋_GBK"/>
          <w:b w:val="0"/>
          <w:i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rPr>
          <w:rFonts w:hint="eastAsia" w:ascii="方正仿宋_GBK" w:hAnsi="方正仿宋_GBK" w:eastAsia="方正仿宋_GBK" w:cs="方正仿宋_GBK"/>
          <w:b w:val="0"/>
          <w:i w:val="0"/>
          <w:caps w:val="0"/>
          <w:color w:val="333333"/>
          <w:spacing w:val="0"/>
          <w:sz w:val="32"/>
          <w:szCs w:val="32"/>
          <w:shd w:val="clear" w:fill="FFFFFF"/>
        </w:rPr>
      </w:pPr>
      <w:r>
        <w:rPr>
          <w:rFonts w:hint="eastAsia" w:ascii="方正仿宋_GBK" w:hAnsi="方正仿宋_GBK" w:eastAsia="方正仿宋_GBK" w:cs="方正仿宋_GBK"/>
          <w:b w:val="0"/>
          <w:i w:val="0"/>
          <w:caps w:val="0"/>
          <w:color w:val="333333"/>
          <w:spacing w:val="0"/>
          <w:sz w:val="32"/>
          <w:szCs w:val="32"/>
          <w:shd w:val="clear" w:fill="FFFFFF"/>
        </w:rPr>
        <w:t>本年度报告是</w:t>
      </w:r>
      <w:r>
        <w:rPr>
          <w:rFonts w:hint="eastAsia" w:ascii="方正仿宋_GBK" w:hAnsi="方正仿宋_GBK" w:eastAsia="方正仿宋_GBK" w:cs="方正仿宋_GBK"/>
          <w:b w:val="0"/>
          <w:i w:val="0"/>
          <w:caps w:val="0"/>
          <w:color w:val="333333"/>
          <w:spacing w:val="0"/>
          <w:sz w:val="32"/>
          <w:szCs w:val="32"/>
          <w:shd w:val="clear" w:fill="FFFFFF"/>
          <w:lang w:eastAsia="zh-CN"/>
        </w:rPr>
        <w:t>由</w:t>
      </w:r>
      <w:r>
        <w:rPr>
          <w:rFonts w:hint="eastAsia" w:ascii="方正仿宋_GBK" w:hAnsi="方正仿宋_GBK" w:eastAsia="方正仿宋_GBK" w:cs="方正仿宋_GBK"/>
          <w:b w:val="0"/>
          <w:i w:val="0"/>
          <w:caps w:val="0"/>
          <w:color w:val="333333"/>
          <w:spacing w:val="0"/>
          <w:sz w:val="32"/>
          <w:szCs w:val="32"/>
          <w:shd w:val="clear" w:fill="FFFFFF"/>
        </w:rPr>
        <w:t>南京市</w:t>
      </w:r>
      <w:r>
        <w:rPr>
          <w:rFonts w:hint="eastAsia" w:ascii="方正仿宋_GBK" w:hAnsi="方正仿宋_GBK" w:eastAsia="方正仿宋_GBK" w:cs="方正仿宋_GBK"/>
          <w:b w:val="0"/>
          <w:i w:val="0"/>
          <w:caps w:val="0"/>
          <w:color w:val="333333"/>
          <w:spacing w:val="0"/>
          <w:sz w:val="32"/>
          <w:szCs w:val="32"/>
          <w:shd w:val="clear" w:fill="FFFFFF"/>
          <w:lang w:val="en-US" w:eastAsia="zh-CN"/>
        </w:rPr>
        <w:t>秦淮区政府办公室（以下简称秦淮区政府办）</w:t>
      </w:r>
      <w:r>
        <w:rPr>
          <w:rFonts w:hint="eastAsia" w:ascii="方正仿宋_GBK" w:hAnsi="方正仿宋_GBK" w:eastAsia="方正仿宋_GBK" w:cs="方正仿宋_GBK"/>
          <w:b w:val="0"/>
          <w:i w:val="0"/>
          <w:caps w:val="0"/>
          <w:color w:val="333333"/>
          <w:spacing w:val="0"/>
          <w:sz w:val="32"/>
          <w:szCs w:val="32"/>
          <w:shd w:val="clear" w:fill="FFFFFF"/>
        </w:rPr>
        <w:t>根据《中华人民共和国政府信息公开条例》、国务院办公厅《关于政府信息公开工作年度报告有关事项的通知》、市政府办公厅《关于切实做好政府信息公开工作年度报告和规范政府信息公开平台有关事项的通知》的要求编制而成。报告中所列数据的统计时限自2019年1月1日至2019年12月31日。如对本报告有任何疑问、意见，请与南京市</w:t>
      </w:r>
      <w:r>
        <w:rPr>
          <w:rFonts w:hint="eastAsia" w:ascii="方正仿宋_GBK" w:hAnsi="方正仿宋_GBK" w:eastAsia="方正仿宋_GBK" w:cs="方正仿宋_GBK"/>
          <w:b w:val="0"/>
          <w:i w:val="0"/>
          <w:caps w:val="0"/>
          <w:color w:val="333333"/>
          <w:spacing w:val="0"/>
          <w:sz w:val="32"/>
          <w:szCs w:val="32"/>
          <w:shd w:val="clear" w:fill="FFFFFF"/>
          <w:lang w:eastAsia="zh-CN"/>
        </w:rPr>
        <w:t>秦淮区政府</w:t>
      </w:r>
      <w:r>
        <w:rPr>
          <w:rFonts w:hint="eastAsia" w:ascii="方正仿宋_GBK" w:hAnsi="方正仿宋_GBK" w:eastAsia="方正仿宋_GBK" w:cs="方正仿宋_GBK"/>
          <w:b w:val="0"/>
          <w:i w:val="0"/>
          <w:caps w:val="0"/>
          <w:color w:val="333333"/>
          <w:spacing w:val="0"/>
          <w:sz w:val="32"/>
          <w:szCs w:val="32"/>
          <w:shd w:val="clear" w:fill="FFFFFF"/>
        </w:rPr>
        <w:t>办公室联系。联系地址：南京市</w:t>
      </w:r>
      <w:r>
        <w:rPr>
          <w:rFonts w:hint="eastAsia" w:ascii="方正仿宋_GBK" w:hAnsi="方正仿宋_GBK" w:eastAsia="方正仿宋_GBK" w:cs="方正仿宋_GBK"/>
          <w:b w:val="0"/>
          <w:i w:val="0"/>
          <w:caps w:val="0"/>
          <w:color w:val="333333"/>
          <w:spacing w:val="0"/>
          <w:sz w:val="32"/>
          <w:szCs w:val="32"/>
          <w:shd w:val="clear" w:fill="FFFFFF"/>
          <w:lang w:eastAsia="zh-CN"/>
        </w:rPr>
        <w:t>秦淮区太平南路</w:t>
      </w:r>
      <w:r>
        <w:rPr>
          <w:rFonts w:hint="eastAsia" w:ascii="方正仿宋_GBK" w:hAnsi="方正仿宋_GBK" w:eastAsia="方正仿宋_GBK" w:cs="方正仿宋_GBK"/>
          <w:b w:val="0"/>
          <w:i w:val="0"/>
          <w:caps w:val="0"/>
          <w:color w:val="333333"/>
          <w:spacing w:val="0"/>
          <w:sz w:val="32"/>
          <w:szCs w:val="32"/>
          <w:shd w:val="clear" w:fill="FFFFFF"/>
          <w:lang w:val="en-US" w:eastAsia="zh-CN"/>
        </w:rPr>
        <w:t>69号</w:t>
      </w:r>
      <w:r>
        <w:rPr>
          <w:rFonts w:hint="eastAsia" w:ascii="方正仿宋_GBK" w:hAnsi="方正仿宋_GBK" w:eastAsia="方正仿宋_GBK" w:cs="方正仿宋_GBK"/>
          <w:b w:val="0"/>
          <w:i w:val="0"/>
          <w:caps w:val="0"/>
          <w:color w:val="333333"/>
          <w:spacing w:val="0"/>
          <w:sz w:val="32"/>
          <w:szCs w:val="32"/>
          <w:shd w:val="clear" w:fill="FFFFFF"/>
        </w:rPr>
        <w:t>；电话：025-</w:t>
      </w:r>
      <w:r>
        <w:rPr>
          <w:rFonts w:hint="eastAsia" w:ascii="方正仿宋_GBK" w:hAnsi="方正仿宋_GBK" w:eastAsia="方正仿宋_GBK" w:cs="方正仿宋_GBK"/>
          <w:b w:val="0"/>
          <w:i w:val="0"/>
          <w:caps w:val="0"/>
          <w:color w:val="333333"/>
          <w:spacing w:val="0"/>
          <w:sz w:val="32"/>
          <w:szCs w:val="32"/>
          <w:shd w:val="clear" w:fill="FFFFFF"/>
          <w:lang w:val="en-US" w:eastAsia="zh-CN"/>
        </w:rPr>
        <w:t>84556621</w:t>
      </w:r>
      <w:r>
        <w:rPr>
          <w:rFonts w:hint="eastAsia" w:ascii="方正仿宋_GBK" w:hAnsi="方正仿宋_GBK" w:eastAsia="方正仿宋_GBK" w:cs="方正仿宋_GBK"/>
          <w:b w:val="0"/>
          <w:i w:val="0"/>
          <w:caps w:val="0"/>
          <w:color w:val="333333"/>
          <w:spacing w:val="0"/>
          <w:sz w:val="32"/>
          <w:szCs w:val="32"/>
          <w:shd w:val="clear" w:fill="FFFFFF"/>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firstLine="640" w:firstLineChars="200"/>
        <w:rPr>
          <w:rFonts w:hint="eastAsia" w:ascii="方正黑体_GBK" w:hAnsi="方正黑体_GBK" w:eastAsia="方正黑体_GBK" w:cs="方正黑体_GBK"/>
          <w:b w:val="0"/>
          <w:i w:val="0"/>
          <w:caps w:val="0"/>
          <w:color w:val="333333"/>
          <w:spacing w:val="0"/>
          <w:sz w:val="32"/>
          <w:szCs w:val="32"/>
          <w:shd w:val="clear" w:fill="FFFFFF"/>
          <w:lang w:eastAsia="zh-CN"/>
        </w:rPr>
      </w:pPr>
      <w:r>
        <w:rPr>
          <w:rFonts w:hint="eastAsia" w:ascii="方正黑体_GBK" w:hAnsi="方正黑体_GBK" w:eastAsia="方正黑体_GBK" w:cs="方正黑体_GBK"/>
          <w:b w:val="0"/>
          <w:i w:val="0"/>
          <w:caps w:val="0"/>
          <w:color w:val="333333"/>
          <w:spacing w:val="0"/>
          <w:sz w:val="32"/>
          <w:szCs w:val="32"/>
          <w:shd w:val="clear" w:fill="FFFFFF"/>
          <w:lang w:eastAsia="zh-CN"/>
        </w:rPr>
        <w:t>总体情况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val="0"/>
          <w:i w:val="0"/>
          <w:caps w:val="0"/>
          <w:color w:val="333333"/>
          <w:spacing w:val="0"/>
          <w:sz w:val="32"/>
          <w:szCs w:val="32"/>
          <w:shd w:val="clear" w:fill="FFFFFF"/>
          <w:lang w:val="en-US" w:eastAsia="zh-CN"/>
        </w:rPr>
        <w:t>2019年，秦淮区政府办紧紧围绕区政府的重点工作，逐步完善信息公开的各项制度，不断扩大信息公开的范围，提高信息公开的质量，切实增强信息公开的实效。全年在“中国.南京”网站上主动发布各类信息263条，收到依申请公开信息32条，全部按时办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00"/>
        <w:jc w:val="left"/>
        <w:rPr>
          <w:rFonts w:hint="eastAsia" w:ascii="方正黑体_GBK" w:hAnsi="方正黑体_GBK" w:eastAsia="方正黑体_GBK" w:cs="方正黑体_GBK"/>
          <w:b w:val="0"/>
          <w:i w:val="0"/>
          <w:caps w:val="0"/>
          <w:color w:val="3D3D3D"/>
          <w:spacing w:val="0"/>
          <w:sz w:val="22"/>
          <w:szCs w:val="22"/>
        </w:rPr>
      </w:pPr>
      <w:r>
        <w:rPr>
          <w:rStyle w:val="6"/>
          <w:rFonts w:hint="eastAsia" w:ascii="方正黑体_GBK" w:hAnsi="方正黑体_GBK" w:eastAsia="方正黑体_GBK" w:cs="方正黑体_GBK"/>
          <w:b/>
          <w:i w:val="0"/>
          <w:caps w:val="0"/>
          <w:color w:val="3D3D3D"/>
          <w:spacing w:val="0"/>
          <w:sz w:val="30"/>
          <w:szCs w:val="30"/>
          <w:shd w:val="clear" w:fill="FFFFFF"/>
        </w:rPr>
        <w:t>二、主动公开政府信息情况</w:t>
      </w:r>
    </w:p>
    <w:tbl>
      <w:tblPr>
        <w:tblStyle w:val="7"/>
        <w:tblW w:w="8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20"/>
        <w:gridCol w:w="1875"/>
        <w:gridCol w:w="127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本年新</w:t>
            </w:r>
            <w:r>
              <w:rPr>
                <w:rFonts w:hint="eastAsia" w:ascii="微软雅黑" w:hAnsi="微软雅黑" w:eastAsia="微软雅黑" w:cs="微软雅黑"/>
                <w:color w:val="000000"/>
                <w:sz w:val="19"/>
                <w:szCs w:val="19"/>
              </w:rPr>
              <w:br w:type="textWrapping"/>
            </w:r>
            <w:r>
              <w:rPr>
                <w:rFonts w:hint="eastAsia" w:ascii="宋体" w:hAnsi="宋体" w:eastAsia="宋体" w:cs="宋体"/>
                <w:color w:val="000000"/>
                <w:sz w:val="19"/>
                <w:szCs w:val="19"/>
              </w:rPr>
              <w:t>  </w:t>
            </w:r>
            <w:r>
              <w:rPr>
                <w:rFonts w:hint="eastAsia" w:ascii="宋体" w:hAnsi="宋体" w:eastAsia="宋体" w:cs="宋体"/>
                <w:color w:val="333333"/>
                <w:sz w:val="19"/>
                <w:szCs w:val="19"/>
              </w:rPr>
              <w:t>制作数量</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本年新</w:t>
            </w:r>
            <w:r>
              <w:rPr>
                <w:rFonts w:hint="eastAsia" w:ascii="微软雅黑" w:hAnsi="微软雅黑" w:eastAsia="微软雅黑" w:cs="微软雅黑"/>
                <w:color w:val="000000"/>
                <w:sz w:val="19"/>
                <w:szCs w:val="19"/>
              </w:rPr>
              <w:br w:type="textWrapping"/>
            </w:r>
            <w:r>
              <w:rPr>
                <w:rFonts w:hint="eastAsia" w:ascii="宋体" w:hAnsi="宋体" w:eastAsia="宋体" w:cs="宋体"/>
                <w:color w:val="000000"/>
                <w:sz w:val="19"/>
                <w:szCs w:val="19"/>
              </w:rPr>
              <w:t>  </w:t>
            </w:r>
            <w:r>
              <w:rPr>
                <w:rFonts w:hint="eastAsia" w:ascii="宋体" w:hAnsi="宋体" w:eastAsia="宋体" w:cs="宋体"/>
                <w:color w:val="333333"/>
                <w:sz w:val="19"/>
                <w:szCs w:val="19"/>
              </w:rPr>
              <w:t>公开数量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规章</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新宋体" w:hAnsi="新宋体" w:eastAsia="新宋体" w:cs="新宋体"/>
                <w:lang w:val="en-US" w:eastAsia="zh-CN"/>
              </w:rPr>
            </w:pPr>
            <w:r>
              <w:rPr>
                <w:rFonts w:hint="eastAsia" w:ascii="新宋体" w:hAnsi="新宋体" w:eastAsia="新宋体" w:cs="新宋体"/>
                <w:lang w:val="en-US" w:eastAsia="zh-CN"/>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新宋体" w:hAnsi="新宋体" w:eastAsia="新宋体" w:cs="新宋体"/>
                <w:lang w:val="en-US" w:eastAsia="zh-CN"/>
              </w:rPr>
            </w:pPr>
            <w:r>
              <w:rPr>
                <w:rFonts w:hint="eastAsia" w:ascii="新宋体" w:hAnsi="新宋体" w:eastAsia="新宋体" w:cs="新宋体"/>
                <w:color w:val="000000"/>
                <w:sz w:val="19"/>
                <w:szCs w:val="19"/>
                <w:lang w:val="en-US"/>
              </w:rPr>
              <w:t>0</w:t>
            </w:r>
            <w:r>
              <w:rPr>
                <w:rFonts w:hint="eastAsia" w:ascii="新宋体" w:hAnsi="新宋体" w:eastAsia="新宋体" w:cs="新宋体"/>
                <w:color w:val="000000"/>
                <w:sz w:val="19"/>
                <w:szCs w:val="19"/>
              </w:rPr>
              <w:t> </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新宋体" w:hAnsi="新宋体" w:eastAsia="新宋体" w:cs="新宋体"/>
                <w:lang w:val="en-US" w:eastAsia="zh-CN"/>
              </w:rPr>
            </w:pPr>
            <w:r>
              <w:rPr>
                <w:rFonts w:hint="eastAsia" w:ascii="新宋体" w:hAnsi="新宋体" w:eastAsia="新宋体" w:cs="新宋体"/>
                <w:color w:val="000000"/>
                <w:sz w:val="19"/>
                <w:szCs w:val="19"/>
                <w:lang w:val="en-US"/>
              </w:rPr>
              <w:t>0</w:t>
            </w:r>
            <w:r>
              <w:rPr>
                <w:rFonts w:hint="eastAsia" w:ascii="新宋体" w:hAnsi="新宋体" w:eastAsia="新宋体" w:cs="新宋体"/>
                <w:color w:val="00000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规范性文件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新宋体" w:hAnsi="新宋体" w:eastAsia="新宋体" w:cs="新宋体"/>
                <w:lang w:val="en-US" w:eastAsia="zh-CN"/>
              </w:rPr>
            </w:pPr>
            <w:r>
              <w:rPr>
                <w:rFonts w:hint="eastAsia" w:ascii="新宋体" w:hAnsi="新宋体" w:eastAsia="新宋体" w:cs="新宋体"/>
                <w:lang w:val="en-US" w:eastAsia="zh-CN"/>
              </w:rPr>
              <w:t>2</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right="0" w:firstLine="380" w:firstLineChars="200"/>
              <w:jc w:val="both"/>
              <w:rPr>
                <w:rFonts w:hint="eastAsia" w:ascii="新宋体" w:hAnsi="新宋体" w:eastAsia="新宋体" w:cs="新宋体"/>
                <w:lang w:val="en-US" w:eastAsia="zh-CN"/>
              </w:rPr>
            </w:pPr>
            <w:r>
              <w:rPr>
                <w:rFonts w:hint="eastAsia" w:ascii="新宋体" w:hAnsi="新宋体" w:eastAsia="新宋体" w:cs="新宋体"/>
                <w:color w:val="000000"/>
                <w:sz w:val="19"/>
                <w:szCs w:val="19"/>
              </w:rPr>
              <w:t> </w:t>
            </w:r>
            <w:r>
              <w:rPr>
                <w:rFonts w:hint="eastAsia" w:ascii="新宋体" w:hAnsi="新宋体" w:eastAsia="新宋体" w:cs="新宋体"/>
                <w:color w:val="000000"/>
                <w:sz w:val="19"/>
                <w:szCs w:val="19"/>
                <w:lang w:val="en-US" w:eastAsia="zh-CN"/>
              </w:rPr>
              <w:t>2</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both"/>
              <w:rPr>
                <w:rFonts w:hint="eastAsia" w:ascii="新宋体" w:hAnsi="新宋体" w:eastAsia="新宋体" w:cs="新宋体"/>
                <w:lang w:val="en-US" w:eastAsia="zh-CN"/>
              </w:rPr>
            </w:pPr>
            <w:r>
              <w:rPr>
                <w:rFonts w:hint="eastAsia" w:ascii="新宋体" w:hAnsi="新宋体" w:eastAsia="新宋体" w:cs="新宋体"/>
                <w:lang w:val="en-US" w:eastAsia="zh-CN"/>
              </w:rPr>
              <w:t xml:space="preserve">  16（2017-2019）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上一年项目数量</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行政许可</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上一年项目数量</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行政处罚</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行政强制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left"/>
              <w:rPr>
                <w:rFonts w:hint="eastAsia" w:ascii="微软雅黑" w:hAnsi="微软雅黑" w:eastAsia="微软雅黑" w:cs="微软雅黑"/>
              </w:rPr>
            </w:pPr>
            <w:r>
              <w:rPr>
                <w:rFonts w:hint="eastAsia" w:ascii="宋体" w:hAnsi="宋体" w:eastAsia="宋体" w:cs="宋体"/>
                <w:color w:val="000000"/>
                <w:sz w:val="19"/>
                <w:szCs w:val="19"/>
              </w:rPr>
              <w:t>上一年项目数量</w:t>
            </w:r>
          </w:p>
        </w:tc>
        <w:tc>
          <w:tcPr>
            <w:tcW w:w="31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行政事业性收费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c>
          <w:tcPr>
            <w:tcW w:w="31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采购项目数量</w:t>
            </w:r>
          </w:p>
        </w:tc>
        <w:tc>
          <w:tcPr>
            <w:tcW w:w="31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000000"/>
                <w:sz w:val="19"/>
                <w:szCs w:val="19"/>
              </w:rPr>
              <w:t>政府集中采购</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c>
          <w:tcPr>
            <w:tcW w:w="315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right="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rPr>
          <w:rFonts w:hint="default" w:ascii="方正仿宋_GBK" w:hAnsi="方正仿宋_GBK" w:eastAsia="方正仿宋_GBK" w:cs="方正仿宋_GBK"/>
          <w:b w:val="0"/>
          <w:i w:val="0"/>
          <w:caps w:val="0"/>
          <w:color w:val="333333"/>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right="0" w:firstLine="602" w:firstLineChars="200"/>
        <w:jc w:val="left"/>
        <w:rPr>
          <w:rFonts w:hint="eastAsia" w:ascii="微软雅黑" w:hAnsi="微软雅黑" w:eastAsia="微软雅黑" w:cs="微软雅黑"/>
          <w:b w:val="0"/>
          <w:i w:val="0"/>
          <w:caps w:val="0"/>
          <w:color w:val="3D3D3D"/>
          <w:spacing w:val="0"/>
          <w:sz w:val="22"/>
          <w:szCs w:val="22"/>
        </w:rPr>
      </w:pPr>
      <w:r>
        <w:rPr>
          <w:rStyle w:val="6"/>
          <w:rFonts w:hint="eastAsia" w:ascii="方正黑体_GBK" w:hAnsi="方正黑体_GBK" w:eastAsia="方正黑体_GBK" w:cs="方正黑体_GBK"/>
          <w:b/>
          <w:i w:val="0"/>
          <w:caps w:val="0"/>
          <w:color w:val="3D3D3D"/>
          <w:spacing w:val="0"/>
          <w:sz w:val="30"/>
          <w:szCs w:val="30"/>
          <w:shd w:val="clear" w:fill="FFFFFF"/>
        </w:rPr>
        <w:t>三、收到和处理政府信息公开申请情况</w:t>
      </w:r>
    </w:p>
    <w:tbl>
      <w:tblPr>
        <w:tblStyle w:val="7"/>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5"/>
        <w:gridCol w:w="1185"/>
        <w:gridCol w:w="1844"/>
        <w:gridCol w:w="755"/>
        <w:gridCol w:w="689"/>
        <w:gridCol w:w="689"/>
        <w:gridCol w:w="737"/>
        <w:gridCol w:w="867"/>
        <w:gridCol w:w="653"/>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4024"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（本列数据的勾稽关系为：第一项加第二项之和，等于第三项加第四项之和）</w:t>
            </w:r>
          </w:p>
        </w:tc>
        <w:tc>
          <w:tcPr>
            <w:tcW w:w="5051"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4024"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7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自然人</w:t>
            </w:r>
          </w:p>
        </w:tc>
        <w:tc>
          <w:tcPr>
            <w:tcW w:w="363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法人或其他组织</w:t>
            </w:r>
          </w:p>
        </w:tc>
        <w:tc>
          <w:tcPr>
            <w:tcW w:w="661"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024"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7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商业企业</w:t>
            </w: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科研机构</w:t>
            </w: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社会公益组织</w:t>
            </w: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法律服务机构</w:t>
            </w: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其他</w:t>
            </w:r>
          </w:p>
        </w:tc>
        <w:tc>
          <w:tcPr>
            <w:tcW w:w="661"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024"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一、本年新收政府信息公开申请数量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default" w:ascii="微软雅黑" w:hAnsi="微软雅黑" w:eastAsia="微软雅黑" w:cs="微软雅黑"/>
                <w:lang w:val="en-US" w:eastAsia="zh-CN"/>
              </w:rPr>
            </w:pPr>
            <w:r>
              <w:rPr>
                <w:rFonts w:hint="eastAsia" w:ascii="微软雅黑" w:hAnsi="微软雅黑" w:eastAsia="微软雅黑" w:cs="微软雅黑"/>
                <w:color w:val="333333"/>
                <w:sz w:val="19"/>
                <w:szCs w:val="19"/>
              </w:rPr>
              <w:t> </w:t>
            </w:r>
            <w:r>
              <w:rPr>
                <w:rFonts w:hint="eastAsia" w:ascii="微软雅黑" w:hAnsi="微软雅黑" w:eastAsia="微软雅黑" w:cs="微软雅黑"/>
                <w:color w:val="333333"/>
                <w:sz w:val="19"/>
                <w:szCs w:val="19"/>
                <w:lang w:val="en-US" w:eastAsia="zh-CN"/>
              </w:rPr>
              <w:t>32</w:t>
            </w: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024"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二、上年结转政府信息公开申请数量</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color w:val="333333"/>
                <w:sz w:val="19"/>
                <w:szCs w:val="19"/>
              </w:rPr>
              <w:t> </w:t>
            </w:r>
            <w:r>
              <w:rPr>
                <w:rFonts w:hint="eastAsia" w:ascii="微软雅黑" w:hAnsi="微软雅黑" w:eastAsia="微软雅黑" w:cs="微软雅黑"/>
                <w:color w:val="333333"/>
                <w:sz w:val="19"/>
                <w:szCs w:val="19"/>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三、本年度办理结果</w:t>
            </w:r>
          </w:p>
        </w:tc>
        <w:tc>
          <w:tcPr>
            <w:tcW w:w="302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ascii="方正楷体简体" w:hAnsi="方正楷体简体" w:eastAsia="方正楷体简体" w:cs="方正楷体简体"/>
                <w:color w:val="333333"/>
                <w:sz w:val="19"/>
                <w:szCs w:val="19"/>
              </w:rPr>
              <w:t>（一）予以公开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302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（二）部分公开（区分处理的，只计这一情形，不计其他情形）</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（三）不予公开</w:t>
            </w: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1.属于国家秘密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2.其他法律行政法规禁止公开</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3.危及“三安全一稳定”</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4.保护第三方合法权益</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5.属于三类内部事务信息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6.属于四类过程性信息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微软雅黑" w:hAnsi="微软雅黑" w:eastAsia="微软雅黑" w:cs="微软雅黑"/>
                <w:color w:val="333333"/>
                <w:sz w:val="19"/>
                <w:szCs w:val="19"/>
              </w:rPr>
              <w:t> </w:t>
            </w: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7.属于行政执法案卷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8.属于行政查询事项</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color w:val="333333"/>
                <w:sz w:val="19"/>
                <w:szCs w:val="19"/>
              </w:rPr>
              <w:t> </w:t>
            </w:r>
            <w:r>
              <w:rPr>
                <w:rFonts w:hint="eastAsia" w:ascii="微软雅黑" w:hAnsi="微软雅黑" w:eastAsia="微软雅黑" w:cs="微软雅黑"/>
                <w:color w:val="333333"/>
                <w:sz w:val="19"/>
                <w:szCs w:val="19"/>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left"/>
              <w:rPr>
                <w:rFonts w:hint="eastAsia" w:ascii="微软雅黑" w:hAnsi="微软雅黑" w:eastAsia="微软雅黑" w:cs="微软雅黑"/>
              </w:rPr>
            </w:pPr>
            <w:r>
              <w:rPr>
                <w:rFonts w:ascii="楷体" w:hAnsi="楷体" w:eastAsia="楷体" w:cs="楷体"/>
                <w:color w:val="333333"/>
                <w:sz w:val="19"/>
                <w:szCs w:val="19"/>
              </w:rPr>
              <w:t>（四）无法提供</w:t>
            </w: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1.本机关不掌握相关政府信息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2.没有现成信息需要另行制作</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3.补正后申请内容仍不明确</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left"/>
              <w:rPr>
                <w:rFonts w:hint="eastAsia" w:ascii="微软雅黑" w:hAnsi="微软雅黑" w:eastAsia="微软雅黑" w:cs="微软雅黑"/>
              </w:rPr>
            </w:pPr>
            <w:r>
              <w:rPr>
                <w:rFonts w:hint="eastAsia" w:ascii="楷体" w:hAnsi="楷体" w:eastAsia="楷体" w:cs="楷体"/>
                <w:color w:val="333333"/>
                <w:sz w:val="19"/>
                <w:szCs w:val="19"/>
              </w:rPr>
              <w:t>（五）不予处理</w:t>
            </w: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1.信访举报投诉类申请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2.重复申请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3.要求提供公开出版物</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4.无正当理由大量反复申请</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1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184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5.要求行政机关确认或重新出具已获取信息</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302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（六）其他处理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3029"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rPr>
                <w:rFonts w:hint="eastAsia" w:ascii="微软雅黑" w:hAnsi="微软雅黑" w:eastAsia="微软雅黑" w:cs="微软雅黑"/>
              </w:rPr>
            </w:pPr>
            <w:r>
              <w:rPr>
                <w:rFonts w:hint="eastAsia" w:ascii="方正楷体简体" w:hAnsi="方正楷体简体" w:eastAsia="方正楷体简体" w:cs="方正楷体简体"/>
                <w:color w:val="333333"/>
                <w:sz w:val="19"/>
                <w:szCs w:val="19"/>
              </w:rPr>
              <w:t>（七）总计</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024"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left"/>
              <w:rPr>
                <w:rFonts w:hint="eastAsia" w:ascii="微软雅黑" w:hAnsi="微软雅黑" w:eastAsia="微软雅黑" w:cs="微软雅黑"/>
              </w:rPr>
            </w:pPr>
            <w:r>
              <w:rPr>
                <w:rFonts w:hint="eastAsia" w:ascii="宋体" w:hAnsi="宋体" w:eastAsia="宋体" w:cs="宋体"/>
                <w:color w:val="333333"/>
                <w:sz w:val="19"/>
                <w:szCs w:val="19"/>
              </w:rPr>
              <w:t>四、结转下年度继续办理</w:t>
            </w:r>
          </w:p>
        </w:tc>
        <w:tc>
          <w:tcPr>
            <w:tcW w:w="7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89"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3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67"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5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1"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00"/>
        <w:jc w:val="left"/>
        <w:rPr>
          <w:rFonts w:hint="eastAsia" w:ascii="微软雅黑" w:hAnsi="微软雅黑" w:eastAsia="微软雅黑" w:cs="微软雅黑"/>
          <w:b w:val="0"/>
          <w:i w:val="0"/>
          <w:caps w:val="0"/>
          <w:color w:val="3D3D3D"/>
          <w:spacing w:val="0"/>
          <w:sz w:val="22"/>
          <w:szCs w:val="22"/>
        </w:rPr>
      </w:pPr>
      <w:r>
        <w:rPr>
          <w:rStyle w:val="6"/>
          <w:rFonts w:hint="default" w:ascii="Times New Roman" w:hAnsi="Times New Roman" w:eastAsia="微软雅黑" w:cs="Times New Roman"/>
          <w:b/>
          <w:i w:val="0"/>
          <w:caps w:val="0"/>
          <w:color w:val="3D3D3D"/>
          <w:spacing w:val="0"/>
          <w:sz w:val="30"/>
          <w:szCs w:val="3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00"/>
        <w:jc w:val="left"/>
        <w:rPr>
          <w:rFonts w:hint="eastAsia" w:ascii="微软雅黑" w:hAnsi="微软雅黑" w:eastAsia="微软雅黑" w:cs="微软雅黑"/>
          <w:b w:val="0"/>
          <w:i w:val="0"/>
          <w:caps w:val="0"/>
          <w:color w:val="3D3D3D"/>
          <w:spacing w:val="0"/>
          <w:sz w:val="22"/>
          <w:szCs w:val="22"/>
        </w:rPr>
      </w:pPr>
      <w:r>
        <w:rPr>
          <w:rStyle w:val="6"/>
          <w:rFonts w:hint="eastAsia" w:ascii="方正黑体_GBK" w:hAnsi="方正黑体_GBK" w:eastAsia="方正黑体_GBK" w:cs="方正黑体_GBK"/>
          <w:b/>
          <w:i w:val="0"/>
          <w:caps w:val="0"/>
          <w:color w:val="3D3D3D"/>
          <w:spacing w:val="0"/>
          <w:sz w:val="30"/>
          <w:szCs w:val="30"/>
          <w:shd w:val="clear" w:fill="FFFFFF"/>
        </w:rPr>
        <w:t>四、政府信息公开行政复议、行政诉讼情况</w:t>
      </w:r>
    </w:p>
    <w:tbl>
      <w:tblPr>
        <w:tblStyle w:val="7"/>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结果纠正</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其他结果</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尚未审结</w:t>
            </w:r>
          </w:p>
        </w:tc>
        <w:tc>
          <w:tcPr>
            <w:tcW w:w="67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总计</w:t>
            </w:r>
          </w:p>
        </w:tc>
        <w:tc>
          <w:tcPr>
            <w:tcW w:w="297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未经复议直接起诉</w:t>
            </w:r>
          </w:p>
        </w:tc>
        <w:tc>
          <w:tcPr>
            <w:tcW w:w="303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firstLine="405"/>
              <w:jc w:val="center"/>
              <w:rPr>
                <w:rFonts w:hint="eastAsia" w:ascii="微软雅黑" w:hAnsi="微软雅黑" w:eastAsia="微软雅黑" w:cs="微软雅黑"/>
              </w:rPr>
            </w:pPr>
            <w:r>
              <w:rPr>
                <w:rFonts w:hint="eastAsia" w:ascii="宋体" w:hAnsi="宋体" w:eastAsia="宋体" w:cs="宋体"/>
                <w:color w:val="333333"/>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67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尚未审结</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000000"/>
                <w:sz w:val="19"/>
                <w:szCs w:val="19"/>
              </w:rPr>
              <w:t>总计</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结果纠正</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000000"/>
                <w:sz w:val="19"/>
                <w:szCs w:val="19"/>
              </w:rPr>
              <w:t>其他结果</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333333"/>
                <w:sz w:val="19"/>
                <w:szCs w:val="19"/>
              </w:rPr>
              <w:t>尚未审结</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r>
              <w:rPr>
                <w:rFonts w:hint="eastAsia" w:ascii="宋体" w:hAnsi="宋体" w:eastAsia="宋体" w:cs="宋体"/>
                <w:color w:val="00000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1</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1</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lang w:val="en-US" w:eastAsia="zh-CN"/>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rPr>
            </w:pPr>
          </w:p>
        </w:tc>
        <w:tc>
          <w:tcPr>
            <w:tcW w:w="6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2</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7</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lang w:val="en-US" w:eastAsia="zh-CN"/>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1</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微软雅黑" w:cs="Times New Roman"/>
              </w:rPr>
            </w:pP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jc w:val="center"/>
              <w:rPr>
                <w:rFonts w:hint="default" w:ascii="Times New Roman" w:hAnsi="Times New Roman" w:eastAsia="微软雅黑" w:cs="Times New Roman"/>
                <w:lang w:val="en-US" w:eastAsia="zh-CN"/>
              </w:rPr>
            </w:pPr>
            <w:r>
              <w:rPr>
                <w:rFonts w:hint="default" w:ascii="Times New Roman" w:hAnsi="Times New Roman" w:eastAsia="微软雅黑" w:cs="Times New Roman"/>
                <w:lang w:val="en-US" w:eastAsia="zh-CN"/>
              </w:rPr>
              <w:t>8</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ind w:left="0" w:right="0"/>
              <w:rPr>
                <w:rFonts w:hint="eastAsia" w:ascii="微软雅黑" w:hAnsi="微软雅黑" w:eastAsia="微软雅黑" w:cs="微软雅黑"/>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00"/>
        <w:jc w:val="left"/>
        <w:rPr>
          <w:rFonts w:hint="eastAsia" w:ascii="微软雅黑" w:hAnsi="微软雅黑" w:eastAsia="微软雅黑" w:cs="微软雅黑"/>
          <w:b w:val="0"/>
          <w:i w:val="0"/>
          <w:caps w:val="0"/>
          <w:color w:val="3D3D3D"/>
          <w:spacing w:val="0"/>
          <w:sz w:val="22"/>
          <w:szCs w:val="22"/>
        </w:rPr>
      </w:pPr>
      <w:r>
        <w:rPr>
          <w:rStyle w:val="6"/>
          <w:rFonts w:hint="default" w:ascii="Times New Roman" w:hAnsi="Times New Roman" w:eastAsia="微软雅黑" w:cs="Times New Roman"/>
          <w:b/>
          <w:i w:val="0"/>
          <w:caps w:val="0"/>
          <w:color w:val="3D3D3D"/>
          <w:spacing w:val="0"/>
          <w:sz w:val="30"/>
          <w:szCs w:val="30"/>
          <w:shd w:val="clear" w:fill="FFFFFF"/>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default"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黑体_GBK" w:hAnsi="方正黑体_GBK" w:eastAsia="方正黑体_GBK" w:cs="方正黑体_GBK"/>
          <w:b w:val="0"/>
          <w:i w:val="0"/>
          <w:caps w:val="0"/>
          <w:color w:val="333333"/>
          <w:spacing w:val="0"/>
          <w:sz w:val="32"/>
          <w:szCs w:val="32"/>
          <w:shd w:val="clear" w:fill="FFFFFF"/>
          <w:lang w:val="en-US" w:eastAsia="zh-CN"/>
        </w:rPr>
        <w:t>五、存在主要问题及改进情况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val="0"/>
          <w:i w:val="0"/>
          <w:caps w:val="0"/>
          <w:color w:val="333333"/>
          <w:spacing w:val="0"/>
          <w:sz w:val="32"/>
          <w:szCs w:val="32"/>
          <w:shd w:val="clear" w:fill="FFFFFF"/>
          <w:lang w:val="en-US" w:eastAsia="zh-CN"/>
        </w:rPr>
        <w:t>2019年，秦淮区政府办信息公开工作虽然取得了一些成绩，但也存在不足和差距，主要表现在以下几方面：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3"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bCs/>
          <w:i w:val="0"/>
          <w:caps w:val="0"/>
          <w:color w:val="333333"/>
          <w:spacing w:val="0"/>
          <w:sz w:val="32"/>
          <w:szCs w:val="32"/>
          <w:shd w:val="clear" w:fill="FFFFFF"/>
          <w:lang w:val="en-US" w:eastAsia="zh-CN"/>
        </w:rPr>
        <w:t>一是信息公开的质量仍需提高。</w:t>
      </w:r>
      <w:r>
        <w:rPr>
          <w:rFonts w:hint="eastAsia" w:ascii="方正仿宋_GBK" w:hAnsi="方正仿宋_GBK" w:eastAsia="方正仿宋_GBK" w:cs="方正仿宋_GBK"/>
          <w:b w:val="0"/>
          <w:i w:val="0"/>
          <w:caps w:val="0"/>
          <w:color w:val="333333"/>
          <w:spacing w:val="0"/>
          <w:sz w:val="32"/>
          <w:szCs w:val="32"/>
          <w:shd w:val="clear" w:fill="FFFFFF"/>
          <w:lang w:val="en-US" w:eastAsia="zh-CN"/>
        </w:rPr>
        <w:t>虽然信息公开的数量有较大提升，但以围绕重点工作的内容偏多，政府文件、政府会议、政策解读等信息相对较少。</w:t>
      </w:r>
      <w:r>
        <w:rPr>
          <w:rFonts w:hint="eastAsia" w:ascii="方正仿宋_GBK" w:hAnsi="方正仿宋_GBK" w:eastAsia="方正仿宋_GBK" w:cs="方正仿宋_GBK"/>
          <w:b/>
          <w:bCs/>
          <w:i w:val="0"/>
          <w:caps w:val="0"/>
          <w:color w:val="333333"/>
          <w:spacing w:val="0"/>
          <w:sz w:val="32"/>
          <w:szCs w:val="32"/>
          <w:shd w:val="clear" w:fill="FFFFFF"/>
          <w:lang w:val="en-US" w:eastAsia="zh-CN"/>
        </w:rPr>
        <w:t>二是依申请公开办理还需规范。</w:t>
      </w:r>
      <w:r>
        <w:rPr>
          <w:rFonts w:hint="eastAsia" w:ascii="方正仿宋_GBK" w:hAnsi="方正仿宋_GBK" w:eastAsia="方正仿宋_GBK" w:cs="方正仿宋_GBK"/>
          <w:b w:val="0"/>
          <w:i w:val="0"/>
          <w:caps w:val="0"/>
          <w:color w:val="333333"/>
          <w:spacing w:val="0"/>
          <w:sz w:val="32"/>
          <w:szCs w:val="32"/>
          <w:shd w:val="clear" w:fill="FFFFFF"/>
          <w:lang w:val="en-US" w:eastAsia="zh-CN"/>
        </w:rPr>
        <w:t>2019年，秦淮区政府办依申请公开办件共有10件申请行政复议和行政诉讼案，呈上升趋势。究其原因，是对新修订的《中华人民共和国政府信息公开条例》内容研究不深、标准把握不严。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val="0"/>
          <w:i w:val="0"/>
          <w:caps w:val="0"/>
          <w:color w:val="333333"/>
          <w:spacing w:val="0"/>
          <w:sz w:val="32"/>
          <w:szCs w:val="32"/>
          <w:shd w:val="clear" w:fill="FFFFFF"/>
          <w:lang w:val="en-US" w:eastAsia="zh-CN"/>
        </w:rPr>
        <w:t>针对以上存在问题，区政府办将从三个方面加以改进：</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3"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bCs/>
          <w:i w:val="0"/>
          <w:caps w:val="0"/>
          <w:color w:val="333333"/>
          <w:spacing w:val="0"/>
          <w:sz w:val="32"/>
          <w:szCs w:val="32"/>
          <w:shd w:val="clear" w:fill="FFFFFF"/>
          <w:lang w:val="en-US" w:eastAsia="zh-CN"/>
        </w:rPr>
        <w:t>一是不断拓展信息公开的范围。</w:t>
      </w:r>
      <w:r>
        <w:rPr>
          <w:rFonts w:hint="eastAsia" w:ascii="方正仿宋_GBK" w:hAnsi="方正仿宋_GBK" w:eastAsia="方正仿宋_GBK" w:cs="方正仿宋_GBK"/>
          <w:b w:val="0"/>
          <w:i w:val="0"/>
          <w:caps w:val="0"/>
          <w:color w:val="333333"/>
          <w:spacing w:val="0"/>
          <w:sz w:val="32"/>
          <w:szCs w:val="32"/>
          <w:shd w:val="clear" w:fill="FFFFFF"/>
          <w:lang w:val="en-US" w:eastAsia="zh-CN"/>
        </w:rPr>
        <w:t>今年将重点围绕区政府工作，加大对政府会议、政府文件、政策解读等方面信息的发布力度；同时加强信息内容的审核，确保信息发布内容准确，更新及时。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3"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bCs/>
          <w:i w:val="0"/>
          <w:caps w:val="0"/>
          <w:color w:val="333333"/>
          <w:spacing w:val="0"/>
          <w:sz w:val="32"/>
          <w:szCs w:val="32"/>
          <w:shd w:val="clear" w:fill="FFFFFF"/>
          <w:lang w:val="en-US" w:eastAsia="zh-CN"/>
        </w:rPr>
        <w:t>二是进一步规范依申请公开办理工作</w:t>
      </w:r>
      <w:r>
        <w:rPr>
          <w:rFonts w:hint="eastAsia" w:ascii="方正仿宋_GBK" w:hAnsi="方正仿宋_GBK" w:eastAsia="方正仿宋_GBK" w:cs="方正仿宋_GBK"/>
          <w:b w:val="0"/>
          <w:i w:val="0"/>
          <w:caps w:val="0"/>
          <w:color w:val="333333"/>
          <w:spacing w:val="0"/>
          <w:sz w:val="32"/>
          <w:szCs w:val="32"/>
          <w:shd w:val="clear" w:fill="FFFFFF"/>
          <w:lang w:val="en-US" w:eastAsia="zh-CN"/>
        </w:rPr>
        <w:t>。2019年，区政府办依照《省政府办公厅关于规范政府信息依申请公开办理程序的意见》（苏政办发〔2018〕112号）要求，制定并发布《秦淮区政府关于规范政府信息依申请公开办理程序的通知》（</w:t>
      </w:r>
      <w:r>
        <w:rPr>
          <w:rFonts w:hint="default" w:ascii="方正仿宋_GBK" w:hAnsi="方正仿宋_GBK" w:eastAsia="方正仿宋_GBK" w:cs="方正仿宋_GBK"/>
          <w:b w:val="0"/>
          <w:i w:val="0"/>
          <w:caps w:val="0"/>
          <w:color w:val="333333"/>
          <w:spacing w:val="0"/>
          <w:sz w:val="32"/>
          <w:szCs w:val="32"/>
          <w:shd w:val="clear" w:fill="FFFFFF"/>
          <w:lang w:val="en-US" w:eastAsia="zh-CN"/>
        </w:rPr>
        <w:t>秦政办发〔</w:t>
      </w:r>
      <w:bookmarkStart w:id="0" w:name="nh"/>
      <w:r>
        <w:rPr>
          <w:rFonts w:hint="default" w:ascii="方正仿宋_GBK" w:hAnsi="方正仿宋_GBK" w:eastAsia="方正仿宋_GBK" w:cs="方正仿宋_GBK"/>
          <w:b w:val="0"/>
          <w:i w:val="0"/>
          <w:caps w:val="0"/>
          <w:color w:val="333333"/>
          <w:spacing w:val="0"/>
          <w:sz w:val="32"/>
          <w:szCs w:val="32"/>
          <w:shd w:val="clear" w:fill="FFFFFF"/>
          <w:lang w:val="en-US" w:eastAsia="zh-CN"/>
        </w:rPr>
        <w:t>201</w:t>
      </w:r>
      <w:bookmarkEnd w:id="0"/>
      <w:r>
        <w:rPr>
          <w:rFonts w:hint="default" w:ascii="方正仿宋_GBK" w:hAnsi="方正仿宋_GBK" w:eastAsia="方正仿宋_GBK" w:cs="方正仿宋_GBK"/>
          <w:b w:val="0"/>
          <w:i w:val="0"/>
          <w:caps w:val="0"/>
          <w:color w:val="333333"/>
          <w:spacing w:val="0"/>
          <w:sz w:val="32"/>
          <w:szCs w:val="32"/>
          <w:shd w:val="clear" w:fill="FFFFFF"/>
          <w:lang w:val="en-US" w:eastAsia="zh-CN"/>
        </w:rPr>
        <w:t>9〕</w:t>
      </w:r>
      <w:bookmarkStart w:id="1" w:name="qh"/>
      <w:bookmarkEnd w:id="1"/>
      <w:r>
        <w:rPr>
          <w:rFonts w:hint="default" w:ascii="方正仿宋_GBK" w:hAnsi="方正仿宋_GBK" w:eastAsia="方正仿宋_GBK" w:cs="方正仿宋_GBK"/>
          <w:b w:val="0"/>
          <w:i w:val="0"/>
          <w:caps w:val="0"/>
          <w:color w:val="333333"/>
          <w:spacing w:val="0"/>
          <w:sz w:val="32"/>
          <w:szCs w:val="32"/>
          <w:shd w:val="clear" w:fill="FFFFFF"/>
          <w:lang w:val="en-US" w:eastAsia="zh-CN"/>
        </w:rPr>
        <w:t>4号</w:t>
      </w:r>
      <w:r>
        <w:rPr>
          <w:rFonts w:hint="eastAsia" w:ascii="方正仿宋_GBK" w:hAnsi="方正仿宋_GBK" w:eastAsia="方正仿宋_GBK" w:cs="方正仿宋_GBK"/>
          <w:b w:val="0"/>
          <w:i w:val="0"/>
          <w:caps w:val="0"/>
          <w:color w:val="333333"/>
          <w:spacing w:val="0"/>
          <w:sz w:val="32"/>
          <w:szCs w:val="32"/>
          <w:shd w:val="clear" w:fill="FFFFFF"/>
          <w:lang w:val="en-US" w:eastAsia="zh-CN"/>
        </w:rPr>
        <w:t>），对接收、登记、答复等环节进行规范要求。今年将对答复内容模版进行修订，进一步完善依申请公开办理各个环节，不断提高此项工作的群众满意度。</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3" w:firstLineChars="200"/>
        <w:rPr>
          <w:rFonts w:hint="eastAsia" w:ascii="方正仿宋_GBK" w:hAnsi="方正仿宋_GBK" w:eastAsia="方正仿宋_GBK" w:cs="方正仿宋_GBK"/>
          <w:b w:val="0"/>
          <w:i w:val="0"/>
          <w:caps w:val="0"/>
          <w:color w:val="333333"/>
          <w:spacing w:val="0"/>
          <w:sz w:val="32"/>
          <w:szCs w:val="32"/>
          <w:shd w:val="clear" w:fill="FFFFFF"/>
          <w:lang w:val="en-US" w:eastAsia="zh-CN"/>
        </w:rPr>
      </w:pPr>
      <w:r>
        <w:rPr>
          <w:rFonts w:hint="eastAsia" w:ascii="方正仿宋_GBK" w:hAnsi="方正仿宋_GBK" w:eastAsia="方正仿宋_GBK" w:cs="方正仿宋_GBK"/>
          <w:b/>
          <w:bCs/>
          <w:i w:val="0"/>
          <w:caps w:val="0"/>
          <w:color w:val="333333"/>
          <w:spacing w:val="0"/>
          <w:sz w:val="32"/>
          <w:szCs w:val="32"/>
          <w:shd w:val="clear" w:fill="FFFFFF"/>
          <w:lang w:val="en-US" w:eastAsia="zh-CN"/>
        </w:rPr>
        <w:t>三是继续加强专业学习培训。</w:t>
      </w:r>
      <w:r>
        <w:rPr>
          <w:rFonts w:hint="eastAsia" w:ascii="方正仿宋_GBK" w:hAnsi="方正仿宋_GBK" w:eastAsia="方正仿宋_GBK" w:cs="方正仿宋_GBK"/>
          <w:b w:val="0"/>
          <w:i w:val="0"/>
          <w:caps w:val="0"/>
          <w:color w:val="333333"/>
          <w:spacing w:val="0"/>
          <w:sz w:val="32"/>
          <w:szCs w:val="32"/>
          <w:shd w:val="clear" w:fill="FFFFFF"/>
          <w:lang w:val="en-US" w:eastAsia="zh-CN"/>
        </w:rPr>
        <w:t>积极参加省、市组织的学习培训，同时加强自身学习，提高专业理论素养，对新修订的《中华人民共和国政府信息公开条例》要学懂、学透，尤其是对依申请公开办理的相关条款更应该逐条领悟其中内涵，切实提高办理水平和能力。</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ightChars="0" w:firstLine="640" w:firstLineChars="200"/>
        <w:rPr>
          <w:rFonts w:hint="eastAsia" w:eastAsia="方正仿宋_GBK"/>
          <w:sz w:val="32"/>
          <w:szCs w:val="32"/>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640" w:leftChars="0" w:right="0" w:rightChars="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六、其他需要报告的事项</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640" w:leftChars="0" w:right="0" w:rightChars="0"/>
        <w:rPr>
          <w:rFonts w:hint="eastAsia" w:eastAsia="方正仿宋_GBK"/>
          <w:sz w:val="32"/>
          <w:szCs w:val="32"/>
          <w:lang w:val="en-US" w:eastAsia="zh-CN"/>
        </w:rPr>
      </w:pPr>
      <w:r>
        <w:rPr>
          <w:rFonts w:hint="eastAsia" w:eastAsia="方正仿宋_GBK"/>
          <w:sz w:val="32"/>
          <w:szCs w:val="32"/>
          <w:lang w:val="en-US" w:eastAsia="zh-CN"/>
        </w:rPr>
        <w:t>无。</w:t>
      </w:r>
    </w:p>
    <w:p>
      <w:pPr>
        <w:jc w:val="both"/>
        <w:rPr>
          <w:rFonts w:hint="eastAsia" w:ascii="方正仿宋_GBK" w:hAnsi="方正仿宋_GBK" w:eastAsia="方正仿宋_GBK" w:cs="方正仿宋_GBK"/>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5E873"/>
    <w:multiLevelType w:val="singleLevel"/>
    <w:tmpl w:val="BC75E8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75FB8"/>
    <w:rsid w:val="07646263"/>
    <w:rsid w:val="32F45EA3"/>
    <w:rsid w:val="3E095D02"/>
    <w:rsid w:val="6AB75FB8"/>
    <w:rsid w:val="7473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2020-02-17T02:23:00Z</dcterms:created>
  <dc:creator>琳琅满目</dc:creator>
  <cp:lastModifiedBy>琳琅满目</cp:lastModifiedBy>
  <dcterms:modified xsi:type="dcterms:W3CDTF">2020-02-18T02:47:04Z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