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D501" w14:textId="77777777" w:rsidR="00EA16D5" w:rsidRDefault="003036E0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南京市浦口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区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商务局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2024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年政府信息公开工作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年度报告</w:t>
      </w:r>
    </w:p>
    <w:p w14:paraId="58934122" w14:textId="77777777" w:rsidR="00EA16D5" w:rsidRDefault="00EA16D5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</w:p>
    <w:p w14:paraId="243690EA" w14:textId="77777777" w:rsidR="00EA16D5" w:rsidRDefault="003036E0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本年报是根据《中华人民共和国政府信息公开条例》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以下简称《条例》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要求，由南京市浦口区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商务局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办公室编制的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年度政府信息公开工作年度报告。全文包括总体情况、主动公开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政府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信息情况、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依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申请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公开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情况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和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存在的问题及改进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措施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如对本报告有任何疑问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请联系南京市浦口区商务局，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南京市浦口区江浦街道象山路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号，邮编：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211800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025-58882135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。</w:t>
      </w:r>
    </w:p>
    <w:p w14:paraId="5C62397F" w14:textId="77777777" w:rsidR="00EA16D5" w:rsidRDefault="003036E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一、总体情况</w:t>
      </w:r>
    </w:p>
    <w:p w14:paraId="3F44AAD5" w14:textId="77777777" w:rsidR="00EA16D5" w:rsidRDefault="003036E0">
      <w:pPr>
        <w:pStyle w:val="a5"/>
        <w:widowControl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>（一）主动公开情况。</w:t>
      </w:r>
      <w:r>
        <w:rPr>
          <w:rFonts w:ascii="Times New Roman" w:eastAsia="方正仿宋_GBK" w:hAnsi="Times New Roman" w:hint="eastAsia"/>
          <w:bCs/>
          <w:kern w:val="2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bCs/>
          <w:kern w:val="2"/>
          <w:sz w:val="32"/>
          <w:szCs w:val="32"/>
        </w:rPr>
        <w:t>年，我局认真贯彻落实</w:t>
      </w:r>
      <w:r>
        <w:rPr>
          <w:rFonts w:ascii="Times New Roman" w:eastAsia="方正仿宋_GBK" w:hAnsi="Times New Roman" w:hint="eastAsia"/>
          <w:bCs/>
          <w:kern w:val="2"/>
          <w:sz w:val="32"/>
          <w:szCs w:val="32"/>
        </w:rPr>
        <w:t>政务信息公开的各项要求，坚持“以公开为常态、不公开为例外”的原则，不断拓宽公开渠道，丰富公开内容，确保政务信息公开工作有序、高效推进。全年通过政府门户网站、新闻媒体等多种渠道，主动公开各类商务信息</w:t>
      </w:r>
      <w:r>
        <w:rPr>
          <w:rFonts w:ascii="Times New Roman" w:eastAsia="方正仿宋_GBK" w:hAnsi="Times New Roman" w:hint="eastAsia"/>
          <w:bCs/>
          <w:kern w:val="2"/>
          <w:sz w:val="32"/>
          <w:szCs w:val="32"/>
        </w:rPr>
        <w:t>70</w:t>
      </w:r>
      <w:r>
        <w:rPr>
          <w:rFonts w:ascii="Times New Roman" w:eastAsia="方正仿宋_GBK" w:hAnsi="Times New Roman" w:hint="eastAsia"/>
          <w:bCs/>
          <w:kern w:val="2"/>
          <w:sz w:val="32"/>
          <w:szCs w:val="32"/>
        </w:rPr>
        <w:t>余条，内容涵盖招商引资、消费促进、外资外贸、供销服务、安全生产、政府预决算、扶持资金公开等各类内容，切实将做好政务公开工作作为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提升</w:t>
      </w:r>
      <w:r>
        <w:rPr>
          <w:rFonts w:ascii="Times New Roman" w:eastAsia="方正仿宋_GBK" w:hAnsi="Times New Roman" w:hint="eastAsia"/>
          <w:bCs/>
          <w:kern w:val="2"/>
          <w:sz w:val="32"/>
          <w:szCs w:val="32"/>
        </w:rPr>
        <w:t>商务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服务水平、增强工作透明度、促进依法行政的重要举措。</w:t>
      </w:r>
    </w:p>
    <w:p w14:paraId="485A8438" w14:textId="77777777" w:rsidR="00EA16D5" w:rsidRDefault="003036E0">
      <w:pPr>
        <w:pStyle w:val="a5"/>
        <w:widowControl/>
        <w:spacing w:before="0" w:beforeAutospacing="0" w:after="0" w:afterAutospacing="0" w:line="560" w:lineRule="exact"/>
        <w:ind w:firstLineChars="200" w:firstLine="643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  <w:shd w:val="clear" w:color="auto" w:fill="FFFFFF"/>
        </w:rPr>
        <w:t>（二）依申请公开办理工作。</w:t>
      </w:r>
      <w:r>
        <w:rPr>
          <w:rFonts w:ascii="Times New Roman" w:eastAsia="方正仿宋_GBK" w:hAnsi="Times New Roman" w:hint="eastAsia"/>
          <w:bCs/>
          <w:kern w:val="2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bCs/>
          <w:kern w:val="2"/>
          <w:sz w:val="32"/>
          <w:szCs w:val="32"/>
        </w:rPr>
        <w:t>年我局应公开的信息能够及时、准确、完整地呈现给公众，有效保障了公众对商务工作的知情权、参与权和监督权，未收到市民依申请公开诉求。</w:t>
      </w:r>
    </w:p>
    <w:p w14:paraId="538F4630" w14:textId="77777777" w:rsidR="00EA16D5" w:rsidRDefault="003036E0">
      <w:pPr>
        <w:spacing w:line="540" w:lineRule="exact"/>
        <w:ind w:firstLineChars="200" w:firstLine="643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lastRenderedPageBreak/>
        <w:t>（三）政府信息管理。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为有效管理政府信息，我局成立政府信息公开领导小组，确保信息公开组织有力。为提升信息公开质量，制定了局政府信息公开制度，明确政府信息公开的范围、方式和程序，新制定局涉密文书管理制度，确保涉密文书全流程管理。信息发布工作严格落实三审三校制度，确保政府公开信息的及时准确。</w:t>
      </w:r>
    </w:p>
    <w:p w14:paraId="3A848437" w14:textId="77777777" w:rsidR="00EA16D5" w:rsidRDefault="003036E0">
      <w:pPr>
        <w:spacing w:line="560" w:lineRule="exact"/>
        <w:ind w:firstLineChars="200" w:firstLine="643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（四）政府信息公开平台建设。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我局充分利用政府门户网站作为政务公开的第一平台，对政策法规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财政预决算、补贴资金等重点领域信息进行了全面、及时地公开。同时，通过区电视台、浦口发布、学习强国、官方新闻媒体等多种渠道，拓宽信息公开途径，增强信息获取的便捷性，让公众能多渠道、快速地获取政府信息。</w:t>
      </w:r>
    </w:p>
    <w:p w14:paraId="08D11796" w14:textId="77777777" w:rsidR="00EA16D5" w:rsidRDefault="003036E0">
      <w:pPr>
        <w:pStyle w:val="a5"/>
        <w:widowControl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（五）监督保障。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把政府信息公开工作和局信息工作纳入局年度工作计划，牵头业务科室每月向各科室通报完成数量，组织全局签订政府涉密信息责任告知书，有力增强全局政务公开和信息发布的责任感和主动性。积极参加区政府牵头组织的政府信息公开培训，在局内举办一期政府信息工作培训，有力提升全局信息公开业务技能。</w:t>
      </w:r>
    </w:p>
    <w:p w14:paraId="588294A8" w14:textId="77777777" w:rsidR="00EA16D5" w:rsidRDefault="003036E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二、主动公开政府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信息情况</w:t>
      </w:r>
    </w:p>
    <w:tbl>
      <w:tblPr>
        <w:tblW w:w="81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1967"/>
        <w:gridCol w:w="1790"/>
        <w:gridCol w:w="1890"/>
      </w:tblGrid>
      <w:tr w:rsidR="00EA16D5" w14:paraId="6F61B689" w14:textId="77777777">
        <w:trPr>
          <w:trHeight w:val="491"/>
          <w:tblCellSpacing w:w="0" w:type="dxa"/>
          <w:jc w:val="center"/>
        </w:trPr>
        <w:tc>
          <w:tcPr>
            <w:tcW w:w="8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DCF98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第二十条第（一）项</w:t>
            </w:r>
          </w:p>
        </w:tc>
      </w:tr>
      <w:tr w:rsidR="00EA16D5" w14:paraId="567751C1" w14:textId="77777777">
        <w:trPr>
          <w:trHeight w:val="508"/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A48814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信息内容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526BB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本年制发件数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ABA800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本年废止件数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90090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现行有效件数</w:t>
            </w:r>
          </w:p>
        </w:tc>
      </w:tr>
      <w:tr w:rsidR="00EA16D5" w14:paraId="34EE8592" w14:textId="77777777">
        <w:trPr>
          <w:trHeight w:val="491"/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830DB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规章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70FF0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B1D84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0 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814AF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0</w:t>
            </w:r>
            <w:r>
              <w:rPr>
                <w:rFonts w:ascii="Arial" w:eastAsia="微软雅黑" w:hAnsi="Arial" w:cs="Arial"/>
                <w:szCs w:val="24"/>
              </w:rPr>
              <w:t xml:space="preserve">　</w:t>
            </w:r>
          </w:p>
        </w:tc>
      </w:tr>
      <w:tr w:rsidR="00EA16D5" w14:paraId="76F56FD1" w14:textId="77777777">
        <w:trPr>
          <w:trHeight w:val="491"/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6FF97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行政规范性文件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81D9E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52776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0 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7DDD1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0</w:t>
            </w:r>
          </w:p>
        </w:tc>
      </w:tr>
      <w:tr w:rsidR="00EA16D5" w14:paraId="77D6A1FA" w14:textId="77777777">
        <w:trPr>
          <w:tblCellSpacing w:w="0" w:type="dxa"/>
          <w:jc w:val="center"/>
        </w:trPr>
        <w:tc>
          <w:tcPr>
            <w:tcW w:w="8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F9D69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第二十条第（五）项</w:t>
            </w:r>
          </w:p>
        </w:tc>
      </w:tr>
      <w:tr w:rsidR="00EA16D5" w14:paraId="37397E60" w14:textId="77777777">
        <w:trPr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0F60D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lastRenderedPageBreak/>
              <w:t>信息内容</w:t>
            </w:r>
          </w:p>
        </w:tc>
        <w:tc>
          <w:tcPr>
            <w:tcW w:w="5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BF883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本年处理决定数量</w:t>
            </w:r>
          </w:p>
        </w:tc>
      </w:tr>
      <w:tr w:rsidR="00EA16D5" w14:paraId="58704BDF" w14:textId="77777777">
        <w:trPr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2069D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行政许可</w:t>
            </w:r>
          </w:p>
        </w:tc>
        <w:tc>
          <w:tcPr>
            <w:tcW w:w="5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4716D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 w:hint="eastAsia"/>
                <w:szCs w:val="24"/>
              </w:rPr>
              <w:t>0</w:t>
            </w:r>
          </w:p>
        </w:tc>
      </w:tr>
      <w:tr w:rsidR="00EA16D5" w14:paraId="26CBE64A" w14:textId="77777777">
        <w:trPr>
          <w:tblCellSpacing w:w="0" w:type="dxa"/>
          <w:jc w:val="center"/>
        </w:trPr>
        <w:tc>
          <w:tcPr>
            <w:tcW w:w="8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B8BB7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第二十条第（六）项</w:t>
            </w:r>
          </w:p>
        </w:tc>
      </w:tr>
      <w:tr w:rsidR="00EA16D5" w14:paraId="700FFF7E" w14:textId="77777777">
        <w:trPr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E738E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信息内容</w:t>
            </w:r>
          </w:p>
        </w:tc>
        <w:tc>
          <w:tcPr>
            <w:tcW w:w="5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40427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本年处理决定数量</w:t>
            </w:r>
          </w:p>
        </w:tc>
      </w:tr>
      <w:tr w:rsidR="00EA16D5" w14:paraId="709C816A" w14:textId="77777777">
        <w:trPr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96EE0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行政处罚</w:t>
            </w:r>
          </w:p>
        </w:tc>
        <w:tc>
          <w:tcPr>
            <w:tcW w:w="5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F42A5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 w:hint="eastAsia"/>
                <w:szCs w:val="24"/>
              </w:rPr>
              <w:t>0</w:t>
            </w:r>
          </w:p>
        </w:tc>
      </w:tr>
      <w:tr w:rsidR="00EA16D5" w14:paraId="73AB6EEB" w14:textId="77777777">
        <w:trPr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DB8AB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行政强制</w:t>
            </w:r>
          </w:p>
        </w:tc>
        <w:tc>
          <w:tcPr>
            <w:tcW w:w="5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24705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0</w:t>
            </w:r>
            <w:r>
              <w:rPr>
                <w:rFonts w:ascii="Arial" w:eastAsia="微软雅黑" w:hAnsi="Arial" w:cs="Arial"/>
                <w:szCs w:val="24"/>
              </w:rPr>
              <w:t xml:space="preserve">　</w:t>
            </w:r>
          </w:p>
        </w:tc>
      </w:tr>
      <w:tr w:rsidR="00EA16D5" w14:paraId="15BD47E1" w14:textId="77777777">
        <w:trPr>
          <w:tblCellSpacing w:w="0" w:type="dxa"/>
          <w:jc w:val="center"/>
        </w:trPr>
        <w:tc>
          <w:tcPr>
            <w:tcW w:w="8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B20FD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第二十条第（八）项</w:t>
            </w:r>
          </w:p>
        </w:tc>
      </w:tr>
      <w:tr w:rsidR="00EA16D5" w14:paraId="2529A2EC" w14:textId="77777777">
        <w:trPr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B3E89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信息内容</w:t>
            </w:r>
          </w:p>
        </w:tc>
        <w:tc>
          <w:tcPr>
            <w:tcW w:w="5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ABF4D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本年收费金额（单位：万元）</w:t>
            </w:r>
          </w:p>
        </w:tc>
      </w:tr>
      <w:tr w:rsidR="00EA16D5" w14:paraId="24F68C8A" w14:textId="77777777">
        <w:trPr>
          <w:tblCellSpacing w:w="0" w:type="dxa"/>
          <w:jc w:val="center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C092E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行政事业性收费</w:t>
            </w:r>
          </w:p>
        </w:tc>
        <w:tc>
          <w:tcPr>
            <w:tcW w:w="5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9148E" w14:textId="77777777" w:rsidR="00EA16D5" w:rsidRDefault="003036E0">
            <w:pPr>
              <w:pStyle w:val="a5"/>
              <w:widowControl/>
              <w:spacing w:before="0" w:beforeAutospacing="0" w:after="0" w:afterAutospacing="0" w:line="368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eastAsia="微软雅黑" w:hAnsi="Arial" w:cs="Arial"/>
                <w:szCs w:val="24"/>
              </w:rPr>
              <w:t>0 </w:t>
            </w:r>
          </w:p>
        </w:tc>
      </w:tr>
    </w:tbl>
    <w:p w14:paraId="217A54D7" w14:textId="77777777" w:rsidR="00EA16D5" w:rsidRDefault="003036E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三、收到和处理政府信息公开申请情况</w:t>
      </w:r>
    </w:p>
    <w:p w14:paraId="6D157340" w14:textId="77777777" w:rsidR="00EA16D5" w:rsidRDefault="003036E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年共受理依申请公开件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sz w:val="32"/>
          <w:szCs w:val="32"/>
        </w:rPr>
        <w:t>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54"/>
        <w:gridCol w:w="1462"/>
        <w:gridCol w:w="836"/>
        <w:gridCol w:w="836"/>
        <w:gridCol w:w="836"/>
        <w:gridCol w:w="836"/>
        <w:gridCol w:w="847"/>
        <w:gridCol w:w="836"/>
        <w:gridCol w:w="836"/>
      </w:tblGrid>
      <w:tr w:rsidR="00EA16D5" w14:paraId="4C320B64" w14:textId="77777777">
        <w:trPr>
          <w:jc w:val="center"/>
        </w:trPr>
        <w:tc>
          <w:tcPr>
            <w:tcW w:w="3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276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6E95" w14:textId="77777777" w:rsidR="00EA16D5" w:rsidRDefault="003036E0">
            <w:pPr>
              <w:widowControl/>
              <w:spacing w:line="440" w:lineRule="exac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申请人情况</w:t>
            </w:r>
          </w:p>
        </w:tc>
      </w:tr>
      <w:tr w:rsidR="00EA16D5" w14:paraId="61BBA849" w14:textId="77777777">
        <w:trPr>
          <w:trHeight w:val="605"/>
          <w:jc w:val="center"/>
        </w:trPr>
        <w:tc>
          <w:tcPr>
            <w:tcW w:w="3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DD2F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3675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自然人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ECF1" w14:textId="77777777" w:rsidR="00EA16D5" w:rsidRDefault="003036E0">
            <w:pPr>
              <w:widowControl/>
              <w:spacing w:line="440" w:lineRule="exac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法人或其他组织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832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总计</w:t>
            </w:r>
          </w:p>
        </w:tc>
      </w:tr>
      <w:tr w:rsidR="00EA16D5" w14:paraId="24E4A195" w14:textId="77777777">
        <w:trPr>
          <w:jc w:val="center"/>
        </w:trPr>
        <w:tc>
          <w:tcPr>
            <w:tcW w:w="3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D8CD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119F9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35B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商业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企业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28D5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科研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机构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E69B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社会公益组织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7DF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法律服务机构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942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其他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F4C9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</w:tr>
      <w:tr w:rsidR="00EA16D5" w14:paraId="206CDE0D" w14:textId="77777777">
        <w:trPr>
          <w:jc w:val="center"/>
        </w:trPr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8D72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30B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E8A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E28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33C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6377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47D9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980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5503CBE6" w14:textId="77777777">
        <w:trPr>
          <w:jc w:val="center"/>
        </w:trPr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5C76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D62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CA3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8C9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986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AAE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D635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8B1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06620BDD" w14:textId="77777777">
        <w:trPr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3D8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三、本年度办理结果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FFE6B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（一）予以公开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042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DEE7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072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5435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3937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BC327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96A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15CA0FF9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E18B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7D8A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14A4" w14:textId="4B99D282" w:rsidR="00EA16D5" w:rsidRDefault="005C6D3C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949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795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98F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AC9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4EFE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2A3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7DAD36FA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8493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A8F5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（三）不予公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lastRenderedPageBreak/>
              <w:t>开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A9A1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lastRenderedPageBreak/>
              <w:t>1.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属于国家秘密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4B2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ADF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253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71B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A005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497F0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ADE7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342CCF83" w14:textId="77777777">
        <w:trPr>
          <w:trHeight w:val="899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20A2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E4F4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5974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其他法律行政法规禁止公开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97C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533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14B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7EB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D7A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D87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5E8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3A968C5F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B19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7E500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FF73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危及“三安全一稳定”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BF6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EB4E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CAF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2C92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284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4AFC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7BDB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28AF0091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DF65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F917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A133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4.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保护第三方合法权益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040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A87D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4AF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EC0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CF1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36E10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568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77034171" w14:textId="77777777">
        <w:trPr>
          <w:trHeight w:val="654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8DFF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48E0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9A008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5.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属于三类内部事务信息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008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795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A65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7BB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653E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7307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BBC5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1356B8B7" w14:textId="77777777">
        <w:trPr>
          <w:trHeight w:val="604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73D3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5585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B06D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6.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属于四类过程性信息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08A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04A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2D0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1B2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48F5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DC2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EB6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5A197B11" w14:textId="77777777">
        <w:trPr>
          <w:trHeight w:val="620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FB1B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FE3E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7CA5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7.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属于行政执法案卷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AF8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B322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85F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651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E49E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634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96FE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7C148DE7" w14:textId="77777777">
        <w:trPr>
          <w:trHeight w:val="687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317D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5AFC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2F77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8.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属于行政查询事项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D1B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CC32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AA27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905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1D19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5710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C60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58AAC205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C510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D140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（四）无法提供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674E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本机关不掌握相关政府信息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FA1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487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92F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DAD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19C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3B7E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13D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2D678B34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62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D7B06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83B3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没有现成信息需要另行制作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40C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929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C6A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26A0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8AD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315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BAE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2AB1C186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2394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CEDD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D5EA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补正后申请内容仍不明确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65D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408A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D750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F53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76E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396E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360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052AA524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0BBF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5E9A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（五）不予处理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706FA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信访举报投诉类申请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35C2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EE9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E46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438C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1C8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9DD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7580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4A3AFCA5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072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D25C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F14F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重复申请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2E0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A39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320D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655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ECF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F2C2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CAC0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39FCFC43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1810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FAA6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8E2A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要求提供公开出版物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D59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120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35A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BCC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3DE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E367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A975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748AFE92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6265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7E2E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7B1C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4.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无正当理由大量反复申请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B73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9A5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80C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54050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495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F68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73A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501F5259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21B3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90D7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6683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5.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要求行政机关确认或重新出具已获取信息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AAB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594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B31A4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3E8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056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29D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32D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39182A59" w14:textId="77777777">
        <w:trPr>
          <w:trHeight w:val="372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DEB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67F531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（六）其他处理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23F4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申请人无正当理由逾期不补正、行政机关不再处理其政府信息公开申请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0E289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38511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8AF11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4ECBE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F135A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A3641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4390D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7D976594" w14:textId="77777777">
        <w:trPr>
          <w:trHeight w:val="372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28B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C03302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1BEF4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申请人逾期未按收费通知要求缴纳费用、行政机关不再处理其政府信息公开申请</w:t>
            </w:r>
          </w:p>
        </w:tc>
        <w:tc>
          <w:tcPr>
            <w:tcW w:w="836" w:type="dxa"/>
            <w:tcBorders>
              <w:left w:val="nil"/>
              <w:right w:val="single" w:sz="4" w:space="0" w:color="auto"/>
            </w:tcBorders>
            <w:vAlign w:val="center"/>
          </w:tcPr>
          <w:p w14:paraId="3DB7475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sz="4" w:space="0" w:color="auto"/>
            </w:tcBorders>
            <w:vAlign w:val="center"/>
          </w:tcPr>
          <w:p w14:paraId="3B38D75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sz="4" w:space="0" w:color="auto"/>
            </w:tcBorders>
            <w:vAlign w:val="center"/>
          </w:tcPr>
          <w:p w14:paraId="0EAA967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sz="4" w:space="0" w:color="auto"/>
            </w:tcBorders>
            <w:vAlign w:val="center"/>
          </w:tcPr>
          <w:p w14:paraId="415B86AF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nil"/>
              <w:right w:val="single" w:sz="4" w:space="0" w:color="auto"/>
            </w:tcBorders>
            <w:vAlign w:val="center"/>
          </w:tcPr>
          <w:p w14:paraId="6F4AC28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sz="4" w:space="0" w:color="auto"/>
            </w:tcBorders>
            <w:vAlign w:val="center"/>
          </w:tcPr>
          <w:p w14:paraId="2215EF3E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sz="4" w:space="0" w:color="auto"/>
            </w:tcBorders>
            <w:vAlign w:val="center"/>
          </w:tcPr>
          <w:p w14:paraId="3E87DF8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0294283D" w14:textId="77777777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E4AA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1802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0527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其他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8FE5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1F3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E88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A78E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D4BE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54E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7152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66DB0393" w14:textId="77777777">
        <w:trPr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0A6" w14:textId="77777777" w:rsidR="00EA16D5" w:rsidRDefault="00EA16D5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4488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（七）总计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F707" w14:textId="5BCC05E4" w:rsidR="00EA16D5" w:rsidRDefault="005C6D3C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AC2B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DEBA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2D39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CF75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076C6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576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  <w:tr w:rsidR="00EA16D5" w14:paraId="26174685" w14:textId="77777777">
        <w:trPr>
          <w:jc w:val="center"/>
        </w:trPr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396" w14:textId="77777777" w:rsidR="00EA16D5" w:rsidRDefault="003036E0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四、结转下年度继续办理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64FD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35B8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BEB1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670A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C33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49D3" w14:textId="77777777" w:rsidR="00EA16D5" w:rsidRDefault="003036E0">
            <w:pPr>
              <w:widowControl/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1CBD" w14:textId="77777777" w:rsidR="00EA16D5" w:rsidRDefault="003036E0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</w:tr>
    </w:tbl>
    <w:p w14:paraId="65F91735" w14:textId="77777777" w:rsidR="00EA16D5" w:rsidRDefault="003036E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四、政府信息公开行政复议、行政诉讼情况</w:t>
      </w:r>
    </w:p>
    <w:p w14:paraId="1FFC439E" w14:textId="77777777" w:rsidR="00EA16D5" w:rsidRDefault="003036E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年浦口区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商务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局没有涉及信息公开的</w:t>
      </w:r>
      <w:r>
        <w:rPr>
          <w:rFonts w:ascii="Times New Roman" w:eastAsia="方正仿宋_GBK" w:hAnsi="Times New Roman" w:cs="Times New Roman"/>
          <w:sz w:val="32"/>
          <w:szCs w:val="32"/>
        </w:rPr>
        <w:t>行政复议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行政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诉讼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EA16D5" w14:paraId="0D1829F6" w14:textId="77777777"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570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26A4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行政诉讼</w:t>
            </w:r>
          </w:p>
        </w:tc>
      </w:tr>
      <w:tr w:rsidR="00EA16D5" w14:paraId="4B842021" w14:textId="77777777"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7AC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lastRenderedPageBreak/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D25D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FD73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0D914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A5DD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F8B6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2778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复议后起诉</w:t>
            </w:r>
          </w:p>
        </w:tc>
      </w:tr>
      <w:tr w:rsidR="00EA16D5" w14:paraId="7339007C" w14:textId="77777777"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5D71" w14:textId="77777777" w:rsidR="00EA16D5" w:rsidRDefault="00EA16D5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8E85" w14:textId="77777777" w:rsidR="00EA16D5" w:rsidRDefault="00EA16D5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4F52" w14:textId="77777777" w:rsidR="00EA16D5" w:rsidRDefault="00EA16D5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CFD0" w14:textId="77777777" w:rsidR="00EA16D5" w:rsidRDefault="00EA16D5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1BED" w14:textId="77777777" w:rsidR="00EA16D5" w:rsidRDefault="00EA16D5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4A3B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B24B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C090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1B91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7FEA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FFC3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A7D1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DDCF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F22B8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C27E" w14:textId="77777777" w:rsidR="00EA16D5" w:rsidRDefault="003036E0">
            <w:pPr>
              <w:widowControl/>
              <w:spacing w:before="100" w:beforeAutospacing="1" w:after="180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总计</w:t>
            </w:r>
          </w:p>
        </w:tc>
      </w:tr>
      <w:tr w:rsidR="00EA16D5" w14:paraId="48DFB7BC" w14:textId="7777777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566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449BD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AFDA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1005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50C7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CEA5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3614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8891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8DA59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6099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A660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6DB9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F234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7DDF" w14:textId="77777777" w:rsidR="00EA16D5" w:rsidRDefault="003036E0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C1B3" w14:textId="77777777" w:rsidR="00EA16D5" w:rsidRDefault="003036E0">
            <w:pP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9987A9E" w14:textId="77777777" w:rsidR="00EA16D5" w:rsidRDefault="003036E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五、存在的主要问题及改进情况</w:t>
      </w:r>
    </w:p>
    <w:p w14:paraId="79A4D8A3" w14:textId="77777777" w:rsidR="00EA16D5" w:rsidRDefault="003036E0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（一）存在的主要问题</w:t>
      </w:r>
    </w:p>
    <w:p w14:paraId="4417CBDE" w14:textId="77777777" w:rsidR="00EA16D5" w:rsidRDefault="003036E0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年我局在政府信息公开工作方面取得一定成效，但仍存在通过档案馆等平台主动公开商务信息力度不足，以及对外公开政府信息门类不够全面，与公众的互动交流渠道欠缺等问题。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年，结合对以上问题整改，我局将从以下方面提高政府信息公开工作质量：</w:t>
      </w:r>
    </w:p>
    <w:p w14:paraId="5FF4D7CB" w14:textId="77777777" w:rsidR="00EA16D5" w:rsidRDefault="003036E0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kern w:val="2"/>
          <w:sz w:val="32"/>
          <w:szCs w:val="32"/>
        </w:rPr>
        <w:t>一是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按照区政府信息公开工作要求，</w:t>
      </w:r>
      <w:r>
        <w:rPr>
          <w:rFonts w:ascii="Times New Roman" w:eastAsia="方正仿宋_GBK" w:hAnsi="Times New Roman"/>
          <w:kern w:val="2"/>
          <w:sz w:val="32"/>
          <w:szCs w:val="32"/>
        </w:rPr>
        <w:t>持续深化政务信息公开，不断扩大公开范围，细化公开内容，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优</w:t>
      </w:r>
      <w:r>
        <w:rPr>
          <w:rFonts w:ascii="Times New Roman" w:eastAsia="方正仿宋_GBK" w:hAnsi="Times New Roman"/>
          <w:kern w:val="2"/>
          <w:sz w:val="32"/>
          <w:szCs w:val="32"/>
        </w:rPr>
        <w:t>化信息分类体系，确保政务信息应公开尽公开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，充分保障公众对商务工作的知情权</w:t>
      </w:r>
      <w:r>
        <w:rPr>
          <w:rFonts w:ascii="Times New Roman" w:eastAsia="方正仿宋_GBK" w:hAnsi="Times New Roman"/>
          <w:kern w:val="2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b/>
          <w:bCs/>
          <w:kern w:val="2"/>
          <w:sz w:val="32"/>
          <w:szCs w:val="32"/>
        </w:rPr>
        <w:t>二是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加强政务信息公开平台建设，提升新媒体的服务功能，采用图文、视频等多种形式，增强政府信息公开工作与公众的互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动性，提升信息发布的可读性以及影响力。</w:t>
      </w:r>
      <w:r>
        <w:rPr>
          <w:rFonts w:ascii="Times New Roman" w:eastAsia="方正仿宋_GBK" w:hAnsi="Times New Roman" w:hint="eastAsia"/>
          <w:b/>
          <w:bCs/>
          <w:kern w:val="2"/>
          <w:sz w:val="32"/>
          <w:szCs w:val="32"/>
        </w:rPr>
        <w:t>三是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继续秉承开放、透明、服务的理念，</w:t>
      </w:r>
      <w:r>
        <w:rPr>
          <w:rFonts w:ascii="Times New Roman" w:eastAsia="方正仿宋_GBK" w:hAnsi="Times New Roman"/>
          <w:kern w:val="2"/>
          <w:sz w:val="32"/>
          <w:szCs w:val="32"/>
        </w:rPr>
        <w:t>强化培训指导，提升全局干部职工的信息公开意识和能力，确保政务信息公开工作</w:t>
      </w:r>
      <w:r>
        <w:rPr>
          <w:rFonts w:ascii="Times New Roman" w:eastAsia="方正仿宋_GBK" w:hAnsi="Times New Roman" w:hint="eastAsia"/>
          <w:kern w:val="2"/>
          <w:sz w:val="32"/>
          <w:szCs w:val="32"/>
        </w:rPr>
        <w:t>更加</w:t>
      </w:r>
      <w:r>
        <w:rPr>
          <w:rFonts w:ascii="Times New Roman" w:eastAsia="方正仿宋_GBK" w:hAnsi="Times New Roman"/>
          <w:kern w:val="2"/>
          <w:sz w:val="32"/>
          <w:szCs w:val="32"/>
        </w:rPr>
        <w:t>规范、专业。</w:t>
      </w:r>
    </w:p>
    <w:p w14:paraId="4F075FE9" w14:textId="77777777" w:rsidR="00EA16D5" w:rsidRDefault="003036E0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六、其他需要报告的事项</w:t>
      </w:r>
    </w:p>
    <w:p w14:paraId="68F74D53" w14:textId="77777777" w:rsidR="00EA16D5" w:rsidRDefault="003036E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本机关本年度未收取政府信息公开信息处理费。</w:t>
      </w:r>
    </w:p>
    <w:p w14:paraId="725E67A1" w14:textId="77777777" w:rsidR="00EA16D5" w:rsidRDefault="00EA16D5">
      <w:pPr>
        <w:pStyle w:val="a5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2ABA7CB5" w14:textId="77777777" w:rsidR="00EA16D5" w:rsidRDefault="00EA16D5"/>
    <w:sectPr w:rsidR="00EA16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4C6D" w14:textId="77777777" w:rsidR="003036E0" w:rsidRDefault="003036E0">
      <w:r>
        <w:separator/>
      </w:r>
    </w:p>
  </w:endnote>
  <w:endnote w:type="continuationSeparator" w:id="0">
    <w:p w14:paraId="29026BED" w14:textId="77777777" w:rsidR="003036E0" w:rsidRDefault="0030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95C1241-F27C-4E01-8870-C4B7D238B40C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AB0152B-95DB-44C9-AAF6-0BDED90E28A6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03691A3-2C65-46F9-8EF3-276013DC8AA8}"/>
    <w:embedBold r:id="rId4" w:subsetted="1" w:fontKey="{2BF54269-61A9-4AF1-A765-05220F22D2C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0C40A8DB-2523-4627-A116-DF2ED16E2045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4F952162-AF27-4BF5-849A-98DE83EC888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C8D2" w14:textId="77777777" w:rsidR="00EA16D5" w:rsidRDefault="003036E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D28CC" wp14:editId="61E2D6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BD5C6" w14:textId="77777777" w:rsidR="00EA16D5" w:rsidRDefault="003036E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D28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64BD5C6" w14:textId="77777777" w:rsidR="00EA16D5" w:rsidRDefault="003036E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23FF" w14:textId="77777777" w:rsidR="003036E0" w:rsidRDefault="003036E0">
      <w:r>
        <w:separator/>
      </w:r>
    </w:p>
  </w:footnote>
  <w:footnote w:type="continuationSeparator" w:id="0">
    <w:p w14:paraId="1C9C1CA6" w14:textId="77777777" w:rsidR="003036E0" w:rsidRDefault="0030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MxNWNlNTRlNGZlMzVjZjI1ZTU2MjY5NWMxYWU3NDkifQ=="/>
    <w:docVar w:name="KSO_WPS_MARK_KEY" w:val="abfa124a-15ba-48a1-945e-841ef09deaa4"/>
  </w:docVars>
  <w:rsids>
    <w:rsidRoot w:val="00EA16D5"/>
    <w:rsid w:val="003036E0"/>
    <w:rsid w:val="005C6D3C"/>
    <w:rsid w:val="00EA16D5"/>
    <w:rsid w:val="01494F09"/>
    <w:rsid w:val="01C20BC1"/>
    <w:rsid w:val="02F83FED"/>
    <w:rsid w:val="03436045"/>
    <w:rsid w:val="04C169A1"/>
    <w:rsid w:val="068950AA"/>
    <w:rsid w:val="079434E4"/>
    <w:rsid w:val="086E0ECF"/>
    <w:rsid w:val="09D41DD9"/>
    <w:rsid w:val="0B09004A"/>
    <w:rsid w:val="0B577B69"/>
    <w:rsid w:val="0C790A16"/>
    <w:rsid w:val="0E726137"/>
    <w:rsid w:val="0E757150"/>
    <w:rsid w:val="102858C5"/>
    <w:rsid w:val="1054697C"/>
    <w:rsid w:val="11F12DFD"/>
    <w:rsid w:val="133602A0"/>
    <w:rsid w:val="1396594E"/>
    <w:rsid w:val="13A84856"/>
    <w:rsid w:val="18356139"/>
    <w:rsid w:val="19C90A10"/>
    <w:rsid w:val="1A9F7253"/>
    <w:rsid w:val="1CAA1EDE"/>
    <w:rsid w:val="1FC41B50"/>
    <w:rsid w:val="1FC55CC7"/>
    <w:rsid w:val="20725047"/>
    <w:rsid w:val="240115C5"/>
    <w:rsid w:val="24A863B5"/>
    <w:rsid w:val="285D2B42"/>
    <w:rsid w:val="28B8128F"/>
    <w:rsid w:val="2AE738F0"/>
    <w:rsid w:val="2ED64D40"/>
    <w:rsid w:val="2F8D7AA9"/>
    <w:rsid w:val="3080639F"/>
    <w:rsid w:val="309A3CD7"/>
    <w:rsid w:val="32B82029"/>
    <w:rsid w:val="341A5D77"/>
    <w:rsid w:val="35A61FCC"/>
    <w:rsid w:val="37280DED"/>
    <w:rsid w:val="387B018F"/>
    <w:rsid w:val="38A547BD"/>
    <w:rsid w:val="3B1076D9"/>
    <w:rsid w:val="3B413680"/>
    <w:rsid w:val="3F1B30E3"/>
    <w:rsid w:val="3F7E5DF7"/>
    <w:rsid w:val="44134CD1"/>
    <w:rsid w:val="44283AC1"/>
    <w:rsid w:val="486B46D9"/>
    <w:rsid w:val="513D4EA5"/>
    <w:rsid w:val="52271947"/>
    <w:rsid w:val="55A9557D"/>
    <w:rsid w:val="57E722A5"/>
    <w:rsid w:val="58F5454D"/>
    <w:rsid w:val="5F8C4684"/>
    <w:rsid w:val="615F4C5A"/>
    <w:rsid w:val="642E5952"/>
    <w:rsid w:val="65E6227C"/>
    <w:rsid w:val="65FF1660"/>
    <w:rsid w:val="66372649"/>
    <w:rsid w:val="67B93D66"/>
    <w:rsid w:val="71C64A96"/>
    <w:rsid w:val="75635FA7"/>
    <w:rsid w:val="79884828"/>
    <w:rsid w:val="7B1136EE"/>
    <w:rsid w:val="7D236844"/>
    <w:rsid w:val="7F0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B8AE4"/>
  <w15:docId w15:val="{77282482-A2C1-4A57-B11B-734AF019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autoRedefine/>
    <w:qFormat/>
    <w:rPr>
      <w:b/>
    </w:rPr>
  </w:style>
  <w:style w:type="character" w:styleId="a7">
    <w:name w:val="FollowedHyperlink"/>
    <w:basedOn w:val="a0"/>
    <w:autoRedefine/>
    <w:qFormat/>
    <w:rPr>
      <w:color w:val="333333"/>
      <w:u w:val="none"/>
    </w:rPr>
  </w:style>
  <w:style w:type="character" w:styleId="a8">
    <w:name w:val="Hyperlink"/>
    <w:basedOn w:val="a0"/>
    <w:autoRedefine/>
    <w:qFormat/>
    <w:rPr>
      <w:color w:val="333333"/>
      <w:u w:val="none"/>
    </w:rPr>
  </w:style>
  <w:style w:type="character" w:customStyle="1" w:styleId="wzzc1">
    <w:name w:val="wzzc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2022-01-24T02:49:00Z</cp:lastPrinted>
  <dcterms:created xsi:type="dcterms:W3CDTF">2022-01-19T08:46:00Z</dcterms:created>
  <dcterms:modified xsi:type="dcterms:W3CDTF">2025-02-10T09:31:00Z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692B7D9D335A4885831D69E6D754EBF7</vt:lpwstr>
  </property>
  <property fmtid="{D5CDD505-2E9C-101B-9397-08002B2CF9AE}" pid="4" name="KSOTemplateDocerSaveRecord">
    <vt:lpwstr>eyJoZGlkIjoiMWUxNDdjMjRhNTZlM2Q2NzJmNWMzMjBjYTgyNzI3MGUiLCJ1c2VySWQiOiI3NzcyNzU3MDQifQ==</vt:lpwstr>
  </property>
</Properties>
</file>