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66" w:rsidRPr="007208F6" w:rsidRDefault="00621C66" w:rsidP="00621C66">
      <w:pPr>
        <w:widowControl/>
        <w:spacing w:line="900" w:lineRule="atLeast"/>
        <w:jc w:val="center"/>
        <w:rPr>
          <w:rFonts w:ascii="Helvetica" w:eastAsia="宋体" w:hAnsi="Helvetica" w:cs="Helvetica"/>
          <w:color w:val="333333"/>
          <w:kern w:val="0"/>
          <w:sz w:val="44"/>
          <w:szCs w:val="44"/>
        </w:rPr>
      </w:pPr>
      <w:r w:rsidRPr="007208F6">
        <w:rPr>
          <w:rFonts w:ascii="Helvetica" w:eastAsia="宋体" w:hAnsi="Helvetica" w:cs="Helvetica"/>
          <w:color w:val="333333"/>
          <w:kern w:val="0"/>
          <w:sz w:val="44"/>
          <w:szCs w:val="44"/>
        </w:rPr>
        <w:t>南京市老山林场</w:t>
      </w:r>
      <w:r w:rsidR="009561BB" w:rsidRPr="007208F6">
        <w:rPr>
          <w:rFonts w:ascii="Helvetica" w:eastAsia="宋体" w:hAnsi="Helvetica" w:cs="Helvetica"/>
          <w:color w:val="333333"/>
          <w:kern w:val="0"/>
          <w:sz w:val="44"/>
          <w:szCs w:val="44"/>
        </w:rPr>
        <w:t>202</w:t>
      </w:r>
      <w:r w:rsidR="00B71820">
        <w:rPr>
          <w:rFonts w:ascii="Helvetica" w:eastAsia="宋体" w:hAnsi="Helvetica" w:cs="Helvetica"/>
          <w:color w:val="333333"/>
          <w:kern w:val="0"/>
          <w:sz w:val="44"/>
          <w:szCs w:val="44"/>
        </w:rPr>
        <w:t>4</w:t>
      </w:r>
      <w:r w:rsidR="009561BB" w:rsidRPr="007208F6">
        <w:rPr>
          <w:rFonts w:ascii="Helvetica" w:eastAsia="宋体" w:hAnsi="Helvetica" w:cs="Helvetica"/>
          <w:color w:val="333333"/>
          <w:kern w:val="0"/>
          <w:sz w:val="44"/>
          <w:szCs w:val="44"/>
        </w:rPr>
        <w:t>年</w:t>
      </w:r>
      <w:r w:rsidRPr="007208F6">
        <w:rPr>
          <w:rFonts w:ascii="Helvetica" w:eastAsia="宋体" w:hAnsi="Helvetica" w:cs="Helvetica"/>
          <w:color w:val="333333"/>
          <w:kern w:val="0"/>
          <w:sz w:val="44"/>
          <w:szCs w:val="44"/>
        </w:rPr>
        <w:t>信息公开年报</w:t>
      </w:r>
    </w:p>
    <w:p w:rsidR="00621C66" w:rsidRPr="00324AA3" w:rsidRDefault="00621C66" w:rsidP="00621C66">
      <w:pPr>
        <w:widowControl/>
        <w:spacing w:line="562" w:lineRule="atLeast"/>
        <w:jc w:val="center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</w:p>
    <w:p w:rsidR="00621C66" w:rsidRPr="00324AA3" w:rsidRDefault="00621C66" w:rsidP="00621C66">
      <w:pPr>
        <w:widowControl/>
        <w:spacing w:line="562" w:lineRule="atLeast"/>
        <w:ind w:firstLine="634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本年报是根据《中华人民共和国政府信息公开条例》要求，由南京市浦口区老山林场办公室编制的</w:t>
      </w:r>
      <w:r w:rsidR="00324AA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202</w:t>
      </w:r>
      <w:r w:rsidR="00345E1C" w:rsidRPr="0001402D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4</w:t>
      </w: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年度政府信息公开工作年度报告。全文包括总体情况、主动公开信息情况、收到和处理政府信息公开申请情况、政府信息公开行政复议、行政诉讼情况、存在的主要问题及改进情况、其他需要报告的事项等内容。如对本报告有任何疑问，请与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老山林场党政办公室联系，地址：南京市浦口区黄山岭路100号，邮编：211800，电话：025-58223001。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一、总体情况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老山林场</w:t>
      </w:r>
      <w:r w:rsidR="00324AA3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202</w:t>
      </w:r>
      <w:r w:rsidR="00345E1C" w:rsidRPr="0001402D"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  <w:t>4</w:t>
      </w:r>
      <w:r w:rsidR="00071D2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年，我</w:t>
      </w:r>
      <w:r w:rsidR="0001402D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场</w:t>
      </w:r>
      <w:r w:rsidR="00071D2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坚持贯彻落实国家、省、市政务公开工作要求，围绕区委区政府中心工作，切实提高信息公开质量，夯实公开工作基础，不断提升政策发布、解读、回应质量，更好发挥以公开促落实、促规范、促服务功能。全力推进全区政务公开和政务新媒体各项工作取得积极成效。</w:t>
      </w:r>
    </w:p>
    <w:p w:rsidR="00621C66" w:rsidRPr="0001402D" w:rsidRDefault="00621C66" w:rsidP="00621C66">
      <w:pPr>
        <w:widowControl/>
        <w:spacing w:line="562" w:lineRule="atLeast"/>
        <w:ind w:firstLine="648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b/>
          <w:bCs/>
          <w:color w:val="000000" w:themeColor="text1"/>
          <w:kern w:val="0"/>
          <w:sz w:val="28"/>
          <w:szCs w:val="28"/>
        </w:rPr>
        <w:t>（一）明确工作主体，加强组织领导。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老山林场高度重视信息公开工作，</w:t>
      </w: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把政府信息公开工作列入重要议事日程，及时调整信息公开工作领导小组，明确分管领导及具体责任人。同时，明确1位同志为</w:t>
      </w:r>
      <w:proofErr w:type="gramStart"/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场信息</w:t>
      </w:r>
      <w:proofErr w:type="gramEnd"/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员，具体负责政府信息公开内容维护、组织协调等日常工作。每个业务科室明确1位信息员，负责收集、整理政府信</w:t>
      </w: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lastRenderedPageBreak/>
        <w:t>息，由</w:t>
      </w:r>
      <w:proofErr w:type="gramStart"/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场信息</w:t>
      </w:r>
      <w:proofErr w:type="gramEnd"/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员统一发布，确保信息公开全面、及时、准确、无差错，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确保应开尽开</w:t>
      </w:r>
      <w:r w:rsidRPr="0001402D"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  <w:t>,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有效确保信息公开管理系统的正常运行。</w:t>
      </w:r>
    </w:p>
    <w:p w:rsidR="00CF2031" w:rsidRPr="0001402D" w:rsidRDefault="00CF2031" w:rsidP="00621C66">
      <w:pPr>
        <w:widowControl/>
        <w:spacing w:line="562" w:lineRule="atLeast"/>
        <w:ind w:firstLine="648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01402D">
        <w:rPr>
          <w:rFonts w:asciiTheme="minorEastAsia" w:hAnsiTheme="minorEastAsia" w:hint="eastAsia"/>
          <w:sz w:val="28"/>
          <w:szCs w:val="28"/>
          <w:shd w:val="clear" w:color="auto" w:fill="FFFFFF"/>
        </w:rPr>
        <w:t>（二）</w:t>
      </w:r>
      <w:r w:rsidRPr="0001402D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强化学习培训，传达培训要点。</w:t>
      </w:r>
      <w:r w:rsidRPr="0001402D">
        <w:rPr>
          <w:rFonts w:asciiTheme="minorEastAsia" w:hAnsiTheme="minorEastAsia" w:hint="eastAsia"/>
          <w:sz w:val="28"/>
          <w:szCs w:val="28"/>
          <w:shd w:val="clear" w:color="auto" w:fill="FFFFFF"/>
        </w:rPr>
        <w:t>强化业务培训。强化文件政策学习，组织相关人员学习新修订的《中华人民共和国政府信息公开条例》扎实政府信息公开工作基础；强化专项培训，积极参加区级政府信息公开培训，及时组织集中学习，传达培训要点，扎实政府信息公开水平。</w:t>
      </w:r>
    </w:p>
    <w:p w:rsidR="00621C66" w:rsidRPr="0001402D" w:rsidRDefault="0012791C" w:rsidP="00621C66">
      <w:pPr>
        <w:widowControl/>
        <w:spacing w:line="562" w:lineRule="atLeast"/>
        <w:ind w:firstLine="648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（三</w:t>
      </w:r>
      <w:r w:rsidR="00621C66" w:rsidRPr="0001402D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）加强梳理分析，丰富公开内容。</w:t>
      </w:r>
      <w:r w:rsidR="00621C66" w:rsidRPr="0001402D">
        <w:rPr>
          <w:rFonts w:asciiTheme="minorEastAsia" w:hAnsiTheme="minorEastAsia" w:cs="Helvetica" w:hint="eastAsia"/>
          <w:kern w:val="0"/>
          <w:sz w:val="28"/>
          <w:szCs w:val="28"/>
        </w:rPr>
        <w:t>按照《条例》规定的范围，结合实际，不断完善政府信息网上公开内容，及时发布林场党建、民生、林业生产、</w:t>
      </w:r>
      <w:r w:rsidR="009561BB" w:rsidRPr="0001402D">
        <w:rPr>
          <w:rFonts w:asciiTheme="minorEastAsia" w:hAnsiTheme="minorEastAsia" w:cs="Helvetica" w:hint="eastAsia"/>
          <w:kern w:val="0"/>
          <w:sz w:val="28"/>
          <w:szCs w:val="28"/>
        </w:rPr>
        <w:t>环境保护，安全生产，</w:t>
      </w:r>
      <w:r w:rsidR="00621C66" w:rsidRPr="0001402D">
        <w:rPr>
          <w:rFonts w:asciiTheme="minorEastAsia" w:hAnsiTheme="minorEastAsia" w:cs="Helvetica" w:hint="eastAsia"/>
          <w:kern w:val="0"/>
          <w:sz w:val="28"/>
          <w:szCs w:val="28"/>
        </w:rPr>
        <w:t>森林防火等各项工作动态信息。</w:t>
      </w:r>
    </w:p>
    <w:p w:rsidR="00324AA3" w:rsidRPr="0001402D" w:rsidRDefault="00621C66" w:rsidP="00324AA3">
      <w:pPr>
        <w:widowControl/>
        <w:spacing w:line="560" w:lineRule="exact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（</w:t>
      </w:r>
      <w:r w:rsidR="0012791C" w:rsidRPr="0001402D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四</w:t>
      </w:r>
      <w:r w:rsidRPr="0001402D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）依托网站体系，发挥平台作用。</w:t>
      </w:r>
      <w:r w:rsidR="00324AA3" w:rsidRPr="0001402D">
        <w:rPr>
          <w:rFonts w:asciiTheme="minorEastAsia" w:hAnsiTheme="minorEastAsia" w:cs="宋体" w:hint="eastAsia"/>
          <w:kern w:val="0"/>
          <w:sz w:val="28"/>
          <w:szCs w:val="28"/>
        </w:rPr>
        <w:t>老山林场利用市政府门户网站作为公开政府信息的平台，按照准确及时的原则，主动做好公开信息的发布工作，202</w:t>
      </w:r>
      <w:r w:rsidR="00335599">
        <w:rPr>
          <w:rFonts w:asciiTheme="minorEastAsia" w:hAnsiTheme="minorEastAsia" w:cs="宋体"/>
          <w:kern w:val="0"/>
          <w:sz w:val="28"/>
          <w:szCs w:val="28"/>
        </w:rPr>
        <w:t>4</w:t>
      </w:r>
      <w:r w:rsidR="00324AA3" w:rsidRPr="0001402D">
        <w:rPr>
          <w:rFonts w:asciiTheme="minorEastAsia" w:hAnsiTheme="minorEastAsia" w:cs="宋体" w:hint="eastAsia"/>
          <w:kern w:val="0"/>
          <w:sz w:val="28"/>
          <w:szCs w:val="28"/>
        </w:rPr>
        <w:t>年，老山林场在市政府门户网站主动公开信息</w:t>
      </w:r>
      <w:r w:rsidR="00E3079C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E3079C">
        <w:rPr>
          <w:rFonts w:asciiTheme="minorEastAsia" w:hAnsiTheme="minorEastAsia" w:cs="宋体"/>
          <w:kern w:val="0"/>
          <w:sz w:val="28"/>
          <w:szCs w:val="28"/>
        </w:rPr>
        <w:t>0</w:t>
      </w:r>
      <w:r w:rsidR="00324AA3" w:rsidRPr="0001402D">
        <w:rPr>
          <w:rFonts w:asciiTheme="minorEastAsia" w:hAnsiTheme="minorEastAsia" w:cs="宋体" w:hint="eastAsia"/>
          <w:kern w:val="0"/>
          <w:sz w:val="28"/>
          <w:szCs w:val="28"/>
        </w:rPr>
        <w:t>余条。</w:t>
      </w:r>
      <w:bookmarkStart w:id="0" w:name="_GoBack"/>
      <w:bookmarkEnd w:id="0"/>
    </w:p>
    <w:p w:rsidR="00621C66" w:rsidRPr="0001402D" w:rsidRDefault="00621C66" w:rsidP="00621C66">
      <w:pPr>
        <w:widowControl/>
        <w:spacing w:line="562" w:lineRule="atLeast"/>
        <w:ind w:firstLine="648"/>
        <w:jc w:val="left"/>
        <w:rPr>
          <w:rFonts w:asciiTheme="minorEastAsia" w:hAnsiTheme="minorEastAsia" w:cs="Helvetica"/>
          <w:kern w:val="0"/>
          <w:sz w:val="28"/>
          <w:szCs w:val="28"/>
        </w:rPr>
      </w:pP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二、主动公开政府信息情况</w:t>
      </w:r>
    </w:p>
    <w:tbl>
      <w:tblPr>
        <w:tblW w:w="8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543"/>
        <w:gridCol w:w="1250"/>
        <w:gridCol w:w="2376"/>
      </w:tblGrid>
      <w:tr w:rsidR="0001402D" w:rsidRPr="0001402D" w:rsidTr="00621C66">
        <w:trPr>
          <w:trHeight w:val="270"/>
          <w:tblCellSpacing w:w="0" w:type="dxa"/>
          <w:jc w:val="center"/>
        </w:trPr>
        <w:tc>
          <w:tcPr>
            <w:tcW w:w="7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第二十条第（一）项</w:t>
            </w:r>
          </w:p>
        </w:tc>
      </w:tr>
      <w:tr w:rsidR="0001402D" w:rsidRPr="0001402D" w:rsidTr="00621C66">
        <w:trPr>
          <w:trHeight w:val="67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本年制发件数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本年废止件数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现行有效件数</w:t>
            </w:r>
          </w:p>
        </w:tc>
      </w:tr>
      <w:tr w:rsidR="0001402D" w:rsidRPr="0001402D" w:rsidTr="00621C66">
        <w:trPr>
          <w:trHeight w:val="31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规章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 xml:space="preserve">0　</w:t>
            </w:r>
          </w:p>
        </w:tc>
      </w:tr>
      <w:tr w:rsidR="0001402D" w:rsidRPr="0001402D" w:rsidTr="00621C66">
        <w:trPr>
          <w:trHeight w:val="25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行政规范性文件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 xml:space="preserve">0　</w:t>
            </w:r>
          </w:p>
        </w:tc>
      </w:tr>
      <w:tr w:rsidR="0001402D" w:rsidRPr="0001402D" w:rsidTr="00621C66">
        <w:trPr>
          <w:trHeight w:val="270"/>
          <w:tblCellSpacing w:w="0" w:type="dxa"/>
          <w:jc w:val="center"/>
        </w:trPr>
        <w:tc>
          <w:tcPr>
            <w:tcW w:w="7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第二十条第（五）项</w:t>
            </w:r>
          </w:p>
        </w:tc>
      </w:tr>
      <w:tr w:rsidR="0001402D" w:rsidRPr="0001402D" w:rsidTr="00621C66">
        <w:trPr>
          <w:trHeight w:val="420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本年处理决定数量</w:t>
            </w:r>
          </w:p>
        </w:tc>
      </w:tr>
      <w:tr w:rsidR="0001402D" w:rsidRPr="0001402D" w:rsidTr="00621C66">
        <w:trPr>
          <w:trHeight w:val="31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rHeight w:val="195"/>
          <w:tblCellSpacing w:w="0" w:type="dxa"/>
          <w:jc w:val="center"/>
        </w:trPr>
        <w:tc>
          <w:tcPr>
            <w:tcW w:w="7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21C66" w:rsidRPr="0001402D" w:rsidRDefault="00621C66" w:rsidP="00621C66">
            <w:pPr>
              <w:widowControl/>
              <w:spacing w:line="195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第二十条第（六）项</w:t>
            </w:r>
          </w:p>
        </w:tc>
      </w:tr>
      <w:tr w:rsidR="0001402D" w:rsidRPr="0001402D" w:rsidTr="00621C66">
        <w:trPr>
          <w:trHeight w:val="420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lastRenderedPageBreak/>
              <w:t>信息内容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本年处理决定数量</w:t>
            </w:r>
          </w:p>
        </w:tc>
      </w:tr>
      <w:tr w:rsidR="0001402D" w:rsidRPr="0001402D" w:rsidTr="00621C66">
        <w:trPr>
          <w:trHeight w:val="22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225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225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rHeight w:val="195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195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195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 xml:space="preserve">0　</w:t>
            </w:r>
          </w:p>
        </w:tc>
      </w:tr>
      <w:tr w:rsidR="0001402D" w:rsidRPr="0001402D" w:rsidTr="00621C66">
        <w:trPr>
          <w:trHeight w:val="270"/>
          <w:tblCellSpacing w:w="0" w:type="dxa"/>
          <w:jc w:val="center"/>
        </w:trPr>
        <w:tc>
          <w:tcPr>
            <w:tcW w:w="7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第二十条第（八）项</w:t>
            </w:r>
          </w:p>
        </w:tc>
      </w:tr>
      <w:tr w:rsidR="0001402D" w:rsidRPr="0001402D" w:rsidTr="00621C66">
        <w:trPr>
          <w:trHeight w:val="60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60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spacing w:line="60" w:lineRule="atLeast"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本年收费金额（单位：万元）</w:t>
            </w:r>
          </w:p>
        </w:tc>
      </w:tr>
      <w:tr w:rsidR="0001402D" w:rsidRPr="0001402D" w:rsidTr="00621C66">
        <w:trPr>
          <w:trHeight w:val="330"/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ind w:firstLine="403"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 </w:t>
            </w:r>
          </w:p>
        </w:tc>
      </w:tr>
    </w:tbl>
    <w:p w:rsidR="00621C66" w:rsidRPr="00335599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335599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三、收到和处理政府信息公开申请情况</w:t>
      </w:r>
    </w:p>
    <w:p w:rsidR="00621C66" w:rsidRPr="00335599" w:rsidRDefault="00324AA3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335599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202</w:t>
      </w:r>
      <w:r w:rsidR="00335599"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  <w:t>4</w:t>
      </w:r>
      <w:r w:rsidR="00621C66" w:rsidRPr="00335599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年老山林场未收到依申请公开件。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86"/>
        <w:gridCol w:w="1745"/>
        <w:gridCol w:w="660"/>
        <w:gridCol w:w="660"/>
        <w:gridCol w:w="660"/>
        <w:gridCol w:w="660"/>
        <w:gridCol w:w="660"/>
        <w:gridCol w:w="1525"/>
        <w:gridCol w:w="1084"/>
      </w:tblGrid>
      <w:tr w:rsidR="0001402D" w:rsidRPr="0001402D" w:rsidTr="00621C66">
        <w:trPr>
          <w:tblCellSpacing w:w="0" w:type="dxa"/>
          <w:jc w:val="center"/>
        </w:trPr>
        <w:tc>
          <w:tcPr>
            <w:tcW w:w="34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（本列数据的勾</w:t>
            </w:r>
            <w:proofErr w:type="gramStart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稽</w:t>
            </w:r>
            <w:proofErr w:type="gramEnd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关系为：第一项加第二项之和，等于第三项加第四项之和）</w:t>
            </w:r>
          </w:p>
        </w:tc>
        <w:tc>
          <w:tcPr>
            <w:tcW w:w="5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申请人情况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总计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3.危及“三安全</w:t>
            </w:r>
            <w:proofErr w:type="gramStart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稳定”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5.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6.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7.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8.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属于行政查询事项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本机关不掌握相关政府信息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2.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没有现成信息需要另行制作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3.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补正后申请内容仍不明确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（五）</w:t>
            </w:r>
            <w:proofErr w:type="gramStart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不予处</w:t>
            </w:r>
            <w:proofErr w:type="gramEnd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信访举报投诉类申请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2.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重复申请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3.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要求提供公开出版物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4.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无正当理由大量反复申请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5.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申请人无正当理由逾期</w:t>
            </w:r>
            <w:proofErr w:type="gramStart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不</w:t>
            </w:r>
            <w:proofErr w:type="gramEnd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补正、行政机关不再处理其政府信息公开申请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2.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申请人逾期未按收费通知要求缴纳费用、行政机关</w:t>
            </w:r>
            <w:proofErr w:type="gramStart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不</w:t>
            </w:r>
            <w:proofErr w:type="gramEnd"/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再处理其政府信息公开申请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3.</w:t>
            </w: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01402D" w:rsidRPr="0001402D" w:rsidTr="00621C66">
        <w:trPr>
          <w:tblCellSpacing w:w="0" w:type="dxa"/>
          <w:jc w:val="center"/>
        </w:trPr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 w:val="18"/>
                <w:szCs w:val="18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四、政府信息公开行政复议、行政诉讼情况</w:t>
      </w:r>
    </w:p>
    <w:p w:rsidR="00621C66" w:rsidRPr="0001402D" w:rsidRDefault="009561BB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  <w:t>202</w:t>
      </w:r>
      <w:r w:rsidR="00335599"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  <w:t>4</w:t>
      </w:r>
      <w:r w:rsidR="00621C66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年浦口区老山林场没有涉及信息公开的行政复议和行政诉讼。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11"/>
        <w:gridCol w:w="411"/>
        <w:gridCol w:w="410"/>
        <w:gridCol w:w="1373"/>
        <w:gridCol w:w="347"/>
        <w:gridCol w:w="410"/>
        <w:gridCol w:w="410"/>
        <w:gridCol w:w="410"/>
        <w:gridCol w:w="1326"/>
        <w:gridCol w:w="410"/>
        <w:gridCol w:w="410"/>
        <w:gridCol w:w="410"/>
        <w:gridCol w:w="410"/>
        <w:gridCol w:w="1531"/>
      </w:tblGrid>
      <w:tr w:rsidR="0001402D" w:rsidRPr="0001402D" w:rsidTr="00621C66">
        <w:trPr>
          <w:tblCellSpacing w:w="0" w:type="dxa"/>
        </w:trPr>
        <w:tc>
          <w:tcPr>
            <w:tcW w:w="2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行政诉讼</w:t>
            </w:r>
          </w:p>
        </w:tc>
      </w:tr>
      <w:tr w:rsidR="0001402D" w:rsidRPr="0001402D" w:rsidTr="00621C66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未经复议直接起诉</w:t>
            </w:r>
          </w:p>
        </w:tc>
        <w:tc>
          <w:tcPr>
            <w:tcW w:w="2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复议后起诉</w:t>
            </w:r>
          </w:p>
        </w:tc>
      </w:tr>
      <w:tr w:rsidR="0001402D" w:rsidRPr="0001402D" w:rsidTr="00621C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结果维持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结果纠正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其他结果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尚未审结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总计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结果维持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结果纠正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其他结果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尚未审结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01402D" w:rsidRPr="0001402D" w:rsidTr="00621C66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C66" w:rsidRPr="0001402D" w:rsidRDefault="00621C66" w:rsidP="00621C66">
            <w:pPr>
              <w:widowControl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01402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</w:t>
            </w:r>
          </w:p>
        </w:tc>
      </w:tr>
    </w:tbl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五、存在的主要问题和改进措施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（一）存在的主要问题</w:t>
      </w:r>
    </w:p>
    <w:p w:rsidR="00621C66" w:rsidRPr="0001402D" w:rsidRDefault="00CF2031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在</w:t>
      </w:r>
      <w:r w:rsidR="00324AA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202</w:t>
      </w:r>
      <w:r w:rsidR="00335599"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4</w:t>
      </w:r>
      <w:r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年中老山林场在政府信息公开工作方面</w:t>
      </w:r>
      <w:r w:rsidR="00324AA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比往年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有了一些进步</w:t>
      </w:r>
      <w:r w:rsidR="00324AA3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，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但是还存在不足之处，一</w:t>
      </w:r>
      <w:r w:rsidR="00335599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、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是信息发布</w:t>
      </w:r>
      <w:r w:rsidR="00335599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质量还需要加强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、</w:t>
      </w:r>
      <w:r w:rsidR="00335599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数量还需进一步扩展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，动态类信息占比高，表面事项公开多，深层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lastRenderedPageBreak/>
        <w:t>次的问题公开少，公开的内容不全面。二</w:t>
      </w:r>
      <w:r w:rsidR="00335599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、</w:t>
      </w:r>
      <w:r w:rsidR="007208F6" w:rsidRPr="000140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是依申请公开工作办理效率有待提升。三</w:t>
      </w:r>
      <w:r w:rsidR="00335599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、</w:t>
      </w:r>
      <w:r w:rsidR="00621C66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主要在于对信息公开工作研究的不够深入，</w:t>
      </w:r>
      <w:r w:rsidR="007208F6"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学习培训内容还需要进一步加强性针对。下一步，将主要从以下几个方面进行改进：</w:t>
      </w:r>
    </w:p>
    <w:p w:rsidR="00621C66" w:rsidRPr="0001402D" w:rsidRDefault="00621C66" w:rsidP="00621C66">
      <w:pPr>
        <w:widowControl/>
        <w:spacing w:line="562" w:lineRule="atLeast"/>
        <w:ind w:firstLine="648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b/>
          <w:bCs/>
          <w:color w:val="000000" w:themeColor="text1"/>
          <w:kern w:val="0"/>
          <w:sz w:val="28"/>
          <w:szCs w:val="28"/>
        </w:rPr>
        <w:t>（二）改进措施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1.</w:t>
      </w:r>
      <w:r w:rsidRPr="0001402D">
        <w:rPr>
          <w:rFonts w:asciiTheme="minorEastAsia" w:hAnsiTheme="minorEastAsia" w:cs="Helvetica" w:hint="eastAsia"/>
          <w:b/>
          <w:bCs/>
          <w:color w:val="000000" w:themeColor="text1"/>
          <w:kern w:val="0"/>
          <w:sz w:val="28"/>
          <w:szCs w:val="28"/>
        </w:rPr>
        <w:t>加强培训，提高水平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。老山林场将继续认真落实国家和省、市、区政府信息公开工作要求，定期组织对政府信息公开工作人员的业务培训，提高工作水平，强化责任意识，持续推进信息公开工作的开展，由党政办公室牵头，各职能科室协助，结合工作实际，进一步加强网站建设管理，深化主动公开内容，创新信息公开渠道，改进信息公开方式，不断提高信息公开工作实效。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2.</w:t>
      </w:r>
      <w:r w:rsidRPr="0001402D">
        <w:rPr>
          <w:rFonts w:asciiTheme="minorEastAsia" w:hAnsiTheme="minorEastAsia" w:cs="Helvetica" w:hint="eastAsia"/>
          <w:b/>
          <w:bCs/>
          <w:color w:val="000000" w:themeColor="text1"/>
          <w:kern w:val="0"/>
          <w:sz w:val="28"/>
          <w:szCs w:val="28"/>
        </w:rPr>
        <w:t>加强学习，强化意识</w:t>
      </w: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。不断加强学习的主动性，学习相关政府信息公开条例等文件精神，进一步认识信息公开的重要性，不断完善，优化公开的形式与内容，从而进一步提高工作人员对政府信息公开工作的自觉性。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六、其他需要报告的事项</w:t>
      </w:r>
    </w:p>
    <w:p w:rsidR="00621C66" w:rsidRPr="0001402D" w:rsidRDefault="00621C66" w:rsidP="00621C66">
      <w:pPr>
        <w:widowControl/>
        <w:spacing w:line="562" w:lineRule="atLeast"/>
        <w:ind w:firstLine="634"/>
        <w:jc w:val="left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 w:rsidRPr="0001402D"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  <w:t>本机关本年度未收取政府信息公开信息处理费。</w:t>
      </w:r>
    </w:p>
    <w:p w:rsidR="006B0D86" w:rsidRPr="0001402D" w:rsidRDefault="006B0D86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6B0D86" w:rsidRPr="0001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B7" w:rsidRDefault="001F71B7" w:rsidP="00324AA3">
      <w:r>
        <w:separator/>
      </w:r>
    </w:p>
  </w:endnote>
  <w:endnote w:type="continuationSeparator" w:id="0">
    <w:p w:rsidR="001F71B7" w:rsidRDefault="001F71B7" w:rsidP="0032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B7" w:rsidRDefault="001F71B7" w:rsidP="00324AA3">
      <w:r>
        <w:separator/>
      </w:r>
    </w:p>
  </w:footnote>
  <w:footnote w:type="continuationSeparator" w:id="0">
    <w:p w:rsidR="001F71B7" w:rsidRDefault="001F71B7" w:rsidP="0032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66"/>
    <w:rsid w:val="0001402D"/>
    <w:rsid w:val="00071D23"/>
    <w:rsid w:val="0012791C"/>
    <w:rsid w:val="001F71B7"/>
    <w:rsid w:val="00324AA3"/>
    <w:rsid w:val="00335599"/>
    <w:rsid w:val="00345E1C"/>
    <w:rsid w:val="00621C66"/>
    <w:rsid w:val="006B0D86"/>
    <w:rsid w:val="007208F6"/>
    <w:rsid w:val="00722989"/>
    <w:rsid w:val="007500D1"/>
    <w:rsid w:val="008D62D1"/>
    <w:rsid w:val="009561BB"/>
    <w:rsid w:val="009D0F22"/>
    <w:rsid w:val="00B71820"/>
    <w:rsid w:val="00CF2031"/>
    <w:rsid w:val="00E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4F032"/>
  <w15:docId w15:val="{2621FAA6-03F4-4B83-BE1D-DA1988CB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1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1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1C66"/>
    <w:rPr>
      <w:b/>
      <w:bCs/>
    </w:rPr>
  </w:style>
  <w:style w:type="paragraph" w:styleId="a5">
    <w:name w:val="header"/>
    <w:basedOn w:val="a"/>
    <w:link w:val="a6"/>
    <w:uiPriority w:val="99"/>
    <w:unhideWhenUsed/>
    <w:rsid w:val="0032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A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7" w:color="D9D9D9"/>
            <w:right w:val="none" w:sz="0" w:space="0" w:color="auto"/>
          </w:divBdr>
        </w:div>
        <w:div w:id="185939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2025-01-09T03:23:00Z</dcterms:created>
  <dcterms:modified xsi:type="dcterms:W3CDTF">2025-01-09T03:46:00Z</dcterms:modified>
</cp:coreProperties>
</file>