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南京市浦口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区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住房保障和房产局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年政府信息公开工作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年度报告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本年报是根据《中华人民共和国政府信息公开条例》要求，由南京市浦口区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住房保障和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房产局办公室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编制的202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年度政府信息公开工作年度报告。全文包括总体情况、主动公开信息情况、收到和处理政府信息公开申请情况、政府信息公开行政复议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行政诉讼情况、存在的主要问题及改进情况、其他需要报告的事项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等内容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如需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下载本报告电子版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请登录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南京市浦口区人民政府网站（www.pukou.gov.cn）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如对本报告有任何疑问，请与南京市浦口区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房产局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办公室联系（地址：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南京市浦口区江浦街道珠江路10号，邮编：211800，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t>电话：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025-58282380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年，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南京市浦口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区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住房保障和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房产局一如既往高度重视信息公开工作保障公民权利、促进依法行政的重要意义，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围绕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职能开展本项工作。主动公开的信息主要包括单位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t>领导分工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eastAsia="zh-CN"/>
        </w:rPr>
        <w:t>、年度财政预决算、公租房、共有产权房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eastAsia="zh-CN"/>
        </w:rPr>
        <w:t>租赁补贴、维修资金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使用、物业管理星级评比、房票安置政策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内容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，全年信息公开总量为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81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条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同时办理依申请公开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208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件。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现将20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年度信息公开总体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情况总结如下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强化基础建设，压实主体责任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eastAsia="zh-CN"/>
        </w:rPr>
        <w:t>坚持信息公开工作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职责到岗到人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t>明确领导分管负责信息公开工作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eastAsia="zh-CN"/>
        </w:rPr>
        <w:t>，局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办公室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t>负责主动信息公开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eastAsia="zh-CN"/>
        </w:rPr>
        <w:t>，局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eastAsia="zh-CN"/>
        </w:rPr>
        <w:t>法规科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t>负责依申请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eastAsia="zh-CN"/>
        </w:rPr>
        <w:t>信息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t>公开，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eastAsia="zh-CN"/>
        </w:rPr>
        <w:t>有力保障本项工作开展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eastAsia="zh-CN"/>
        </w:rPr>
        <w:t>要求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t>机关各科室、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eastAsia="zh-CN"/>
        </w:rPr>
        <w:t>下属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t>单位做好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eastAsia="zh-CN"/>
        </w:rPr>
        <w:t>信息公开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t>内容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提供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eastAsia="zh-CN"/>
        </w:rPr>
        <w:t>，确保应公开尽公开。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shd w:val="clear" w:color="auto" w:fill="auto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健全工作机制，规范信息发布。一是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建立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严格审慎的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政府信息公开审核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发布制度，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eastAsia="zh-CN"/>
        </w:rPr>
        <w:t>确保信息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t>公开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eastAsia="zh-CN"/>
        </w:rPr>
        <w:t>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t>制度化、规范化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t>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eastAsia="zh-CN"/>
        </w:rPr>
        <w:t>对外公开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</w:rPr>
        <w:t>发布的信息，均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eastAsia="zh-CN"/>
        </w:rPr>
        <w:t>严格按照《区房产局信息宣传三审三校实施细则》进行审核，确保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信息准确、全面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shd w:val="clear" w:color="auto" w:fill="auto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主动、及时公布信息，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缩短信息收集、整理、编写等各环节的滞留时间，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积极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回应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住房保障、物业管理、房屋安全等方面的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社会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关切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提升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信息公开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时效性。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lang w:val="en-US" w:eastAsia="zh-CN"/>
        </w:rPr>
        <w:t>开展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业务培训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lang w:val="en-US" w:eastAsia="zh-CN"/>
        </w:rPr>
        <w:t>强化工作要求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定期开展信息公开专题培训，强调信息公开工作流程，提升工作人员专业性。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认真传达上级部门关于信息公开工作的部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署，要求各科室、下属单位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积极落实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信息公开任务。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二、主动公开政府信息情况</w:t>
      </w:r>
    </w:p>
    <w:tbl>
      <w:tblPr>
        <w:tblStyle w:val="6"/>
        <w:tblW w:w="81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1715"/>
        <w:gridCol w:w="1431"/>
        <w:gridCol w:w="18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本年制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  <w:t>发件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数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132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  <w:t>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三、收到和处理政府信息公开申请情况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年，浦口区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房产局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共受理依申请公开件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，其中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件予以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公开，8件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予以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部分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公开；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不予公开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件属于本机关不掌握的相关政府信息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，2件不予处理，19件其他处理，2件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结转下年度继续办理。</w:t>
      </w:r>
    </w:p>
    <w:tbl>
      <w:tblPr>
        <w:tblStyle w:val="6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54"/>
        <w:gridCol w:w="1462"/>
        <w:gridCol w:w="836"/>
        <w:gridCol w:w="836"/>
        <w:gridCol w:w="836"/>
        <w:gridCol w:w="836"/>
        <w:gridCol w:w="847"/>
        <w:gridCol w:w="836"/>
        <w:gridCol w:w="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8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69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自然人</w:t>
            </w:r>
          </w:p>
        </w:tc>
        <w:tc>
          <w:tcPr>
            <w:tcW w:w="41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法人或其他组织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商业企业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科研机构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社会公益组织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法律服务机构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其他</w:t>
            </w: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208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三、本年度办理结果</w:t>
            </w: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  <w:t>（一）予以公开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  <w:t>（三）不予公开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  <w:t>1.属于国家秘密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  <w:t>2.其他法律行政法规禁止公开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  <w:t>3.危及“三安全一稳定”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  <w:t>4.保护第三方合法权益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101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auto"/>
                <w:sz w:val="20"/>
                <w:szCs w:val="20"/>
                <w:lang w:val="en-US" w:eastAsia="zh-CN"/>
              </w:rPr>
              <w:t>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  <w:t>5.属于三类内部事务信息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  <w:t>6.属于四类过程性信息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  <w:t>7.属于行政执法案卷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  <w:t>8.属于行政查询事项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0"/>
                <w:szCs w:val="20"/>
              </w:rPr>
              <w:t>（四）无法提供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  <w:t>1.本机关不掌握相关政府信息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auto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auto"/>
                <w:sz w:val="20"/>
                <w:szCs w:val="20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  <w:t>2.没有现成信息需要另行制作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  <w:t>3.补正后申请内容仍不明确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0"/>
                <w:szCs w:val="20"/>
              </w:rPr>
              <w:t>（五）不予处理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  <w:t>1.信访举报投诉类申请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  <w:t>2.重复申请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  <w:t>3.要求提供公开出版物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  <w:t>4.无正当理由大量反复申请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  <w:t>（六）其他处理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836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7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9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83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83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7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  <w:t>（七）总计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auto"/>
                <w:sz w:val="20"/>
                <w:szCs w:val="20"/>
                <w:lang w:val="en-US" w:eastAsia="zh-CN"/>
              </w:rPr>
              <w:t>206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auto"/>
                <w:sz w:val="20"/>
                <w:szCs w:val="20"/>
                <w:lang w:val="en-US" w:eastAsia="zh-CN"/>
              </w:rPr>
              <w:t>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四、结转下年度继续办理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年浦口区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房产局涉及信息公开的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行政复议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1条，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行政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诉讼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tbl>
      <w:tblPr>
        <w:tblStyle w:val="6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8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（一）存在的主要问题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年，我局政府信息公开工作还存在些许不足，主要是公开的阵地有待拓宽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公开内容还需增加。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（二）改进措施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.重视培训，提高水平。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定期组织对政府信息公开工作人员的业务培训，就相关法律法规及上级部门工作部署进行专题深入讲解，提高工作水平，强化责任意识，确保工作有序开展。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.突出重点，强化宣传。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谋划群众接受度高的形式，广泛开展信息公开工作，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为群众提供快捷全面获取知识、获得帮助的途径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，改变目前部分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群众对于房产管理各领域业务了解不够全面、不够准确的现状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年，我局无其他需要报告的事项，没有收取信息处理费。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F12D7CFB-6EDE-41C4-9F74-EC0F29A3BE95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40463F3-8C7E-43C9-BC6D-F6A698BDBBE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723C80F-266A-4442-94B6-05444376D95B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6E7491C-2F3D-42E8-BD20-79DAD63EB3E5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8E03A7C-8312-4D2E-B0E1-532708ED582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EBB7E85-672F-4ACB-804E-11DDDD44AEA0}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7" w:fontKey="{C341CDEE-E1CB-4ADD-895E-B88330897D4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8" w:fontKey="{5747047C-068B-45AE-9C67-E23569BCB02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6407312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9C6A17"/>
    <w:multiLevelType w:val="singleLevel"/>
    <w:tmpl w:val="199C6A17"/>
    <w:lvl w:ilvl="0" w:tentative="0">
      <w:start w:val="1"/>
      <w:numFmt w:val="chineseCounting"/>
      <w:suff w:val="nothing"/>
      <w:lvlText w:val="（%1）"/>
      <w:lvlJc w:val="left"/>
      <w:rPr>
        <w:rFonts w:hint="eastAsia" w:ascii="方正仿宋_GBK" w:eastAsia="方正仿宋_GBK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zM2Y4MTI0MzUwYmUyMmIzODNmZDE5MjI4MWI2NjAifQ=="/>
  </w:docVars>
  <w:rsids>
    <w:rsidRoot w:val="008747B9"/>
    <w:rsid w:val="001905FD"/>
    <w:rsid w:val="00191F2F"/>
    <w:rsid w:val="001F405A"/>
    <w:rsid w:val="0025184B"/>
    <w:rsid w:val="002572EC"/>
    <w:rsid w:val="00296A8A"/>
    <w:rsid w:val="002A5574"/>
    <w:rsid w:val="002C5A95"/>
    <w:rsid w:val="0030076F"/>
    <w:rsid w:val="003845DB"/>
    <w:rsid w:val="003B3AC3"/>
    <w:rsid w:val="004D0C9A"/>
    <w:rsid w:val="004D181F"/>
    <w:rsid w:val="00603C9D"/>
    <w:rsid w:val="0066267B"/>
    <w:rsid w:val="00667641"/>
    <w:rsid w:val="006A34C9"/>
    <w:rsid w:val="007600EE"/>
    <w:rsid w:val="008074F9"/>
    <w:rsid w:val="008747B9"/>
    <w:rsid w:val="008E7D55"/>
    <w:rsid w:val="00945EEC"/>
    <w:rsid w:val="00960A46"/>
    <w:rsid w:val="00991557"/>
    <w:rsid w:val="00C0610D"/>
    <w:rsid w:val="00CA69FA"/>
    <w:rsid w:val="00D32765"/>
    <w:rsid w:val="00E128DA"/>
    <w:rsid w:val="00EF1D09"/>
    <w:rsid w:val="00F076CF"/>
    <w:rsid w:val="097332DB"/>
    <w:rsid w:val="0BC910FF"/>
    <w:rsid w:val="0F457D56"/>
    <w:rsid w:val="0FA00951"/>
    <w:rsid w:val="10AF2A48"/>
    <w:rsid w:val="111A24F9"/>
    <w:rsid w:val="111D4066"/>
    <w:rsid w:val="11220595"/>
    <w:rsid w:val="126741BF"/>
    <w:rsid w:val="12D47A00"/>
    <w:rsid w:val="13FE2200"/>
    <w:rsid w:val="14C12DDE"/>
    <w:rsid w:val="15A86332"/>
    <w:rsid w:val="1E505587"/>
    <w:rsid w:val="20B36CE3"/>
    <w:rsid w:val="225F6E1F"/>
    <w:rsid w:val="267F7748"/>
    <w:rsid w:val="296E6D4E"/>
    <w:rsid w:val="2AFB5A31"/>
    <w:rsid w:val="2CB633E1"/>
    <w:rsid w:val="2D0F7CD3"/>
    <w:rsid w:val="2F361573"/>
    <w:rsid w:val="2F4B6FA8"/>
    <w:rsid w:val="2F952964"/>
    <w:rsid w:val="34C66EA8"/>
    <w:rsid w:val="35563D07"/>
    <w:rsid w:val="36172C1C"/>
    <w:rsid w:val="3A037B14"/>
    <w:rsid w:val="3AE01A88"/>
    <w:rsid w:val="3AF14626"/>
    <w:rsid w:val="4118733A"/>
    <w:rsid w:val="43B704C4"/>
    <w:rsid w:val="45320CFD"/>
    <w:rsid w:val="480B4ACD"/>
    <w:rsid w:val="48392258"/>
    <w:rsid w:val="48EE0F96"/>
    <w:rsid w:val="49372D5B"/>
    <w:rsid w:val="4B1D01E3"/>
    <w:rsid w:val="4EE6791A"/>
    <w:rsid w:val="4F5C5EC1"/>
    <w:rsid w:val="523F4EE3"/>
    <w:rsid w:val="54576514"/>
    <w:rsid w:val="54A24D32"/>
    <w:rsid w:val="55085A60"/>
    <w:rsid w:val="59145F92"/>
    <w:rsid w:val="5C71109E"/>
    <w:rsid w:val="5E046A15"/>
    <w:rsid w:val="5EBB1FF1"/>
    <w:rsid w:val="5F281047"/>
    <w:rsid w:val="6043716C"/>
    <w:rsid w:val="61BA7841"/>
    <w:rsid w:val="62270B3C"/>
    <w:rsid w:val="62FF575B"/>
    <w:rsid w:val="634B49DA"/>
    <w:rsid w:val="642021C6"/>
    <w:rsid w:val="654102ED"/>
    <w:rsid w:val="660F30F2"/>
    <w:rsid w:val="68640551"/>
    <w:rsid w:val="6C575C3A"/>
    <w:rsid w:val="6DD63018"/>
    <w:rsid w:val="6E67383E"/>
    <w:rsid w:val="6F74756A"/>
    <w:rsid w:val="734175FF"/>
    <w:rsid w:val="73BF4EED"/>
    <w:rsid w:val="74252144"/>
    <w:rsid w:val="748D0748"/>
    <w:rsid w:val="76B33626"/>
    <w:rsid w:val="76F0662B"/>
    <w:rsid w:val="78421CD3"/>
    <w:rsid w:val="78466714"/>
    <w:rsid w:val="7C2950FA"/>
    <w:rsid w:val="7E43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2081</Words>
  <Characters>2169</Characters>
  <Lines>20</Lines>
  <Paragraphs>5</Paragraphs>
  <TotalTime>31</TotalTime>
  <ScaleCrop>false</ScaleCrop>
  <LinksUpToDate>false</LinksUpToDate>
  <CharactersWithSpaces>2169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2021-01-04T08:44:00Z</dcterms:created>
  <dc:creator>田云(tianyun)</dc:creator>
  <cp:lastModifiedBy>Hours</cp:lastModifiedBy>
  <cp:lastPrinted>2021-10-20T08:05:00Z</cp:lastPrinted>
  <dcterms:modified xsi:type="dcterms:W3CDTF">2024-01-24T01:33:09Z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A12F88CB9869468F8F4F1634B91A34AB_13</vt:lpwstr>
  </property>
  <property fmtid="{D5CDD505-2E9C-101B-9397-08002B2CF9AE}" pid="4" name="KSOSaveFontToCloudKey">
    <vt:lpwstr>418160898_btnclosed</vt:lpwstr>
  </property>
</Properties>
</file>