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2023年南京市浦口区文化和旅游局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政府信息公开工作年度报告</w:t>
      </w:r>
    </w:p>
    <w:p>
      <w:pPr>
        <w:ind w:firstLine="640" w:firstLineChars="200"/>
        <w:jc w:val="left"/>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本年报是根据《中华人民共和国政府信息公开条例》（以下简称为《条例》）要求，由南京市浦口区文化和旅游局（以下简称“</w:t>
      </w:r>
      <w:r>
        <w:rPr>
          <w:rFonts w:hint="default" w:ascii="Times New Roman" w:hAnsi="Times New Roman" w:eastAsia="方正仿宋_GBK" w:cs="Times New Roman"/>
          <w:sz w:val="32"/>
          <w:szCs w:val="32"/>
          <w:lang w:eastAsia="zh-CN"/>
        </w:rPr>
        <w:t>区文旅局</w:t>
      </w:r>
      <w:r>
        <w:rPr>
          <w:rFonts w:hint="default" w:ascii="Times New Roman" w:hAnsi="Times New Roman" w:eastAsia="方正仿宋_GBK" w:cs="Times New Roman"/>
          <w:sz w:val="32"/>
          <w:szCs w:val="32"/>
        </w:rPr>
        <w:t>”）编制的202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政府信息公开年度报告。全文包括总体情况、主动公开政府信息情况、依申请公开情况和存在的问题及改进措施。南京市浦口区人民政府网站（www.pukou.gov.cn）上可下载本报告的电子版。如对本报告有任何疑问，请与浦口区文化和旅游局办公室联系(地址：南京市浦口区象山路4号市民中心B栋917，邮编：211800，电话：58282182)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202</w:t>
      </w:r>
      <w:r>
        <w:rPr>
          <w:rFonts w:hint="default"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rPr>
        <w:t>年，</w:t>
      </w:r>
      <w:r>
        <w:rPr>
          <w:rFonts w:hint="default" w:ascii="Times New Roman" w:hAnsi="Times New Roman" w:eastAsia="方正仿宋_GBK" w:cs="Times New Roman"/>
          <w:bCs/>
          <w:color w:val="auto"/>
          <w:sz w:val="32"/>
          <w:szCs w:val="32"/>
          <w:lang w:eastAsia="zh-CN"/>
        </w:rPr>
        <w:t>南京市浦口</w:t>
      </w:r>
      <w:r>
        <w:rPr>
          <w:rFonts w:hint="default" w:ascii="Times New Roman" w:hAnsi="Times New Roman" w:eastAsia="方正仿宋_GBK" w:cs="Times New Roman"/>
          <w:bCs/>
          <w:color w:val="auto"/>
          <w:sz w:val="32"/>
          <w:szCs w:val="32"/>
        </w:rPr>
        <w:t>区</w:t>
      </w:r>
      <w:r>
        <w:rPr>
          <w:rFonts w:hint="default" w:ascii="Times New Roman" w:hAnsi="Times New Roman" w:eastAsia="方正仿宋_GBK" w:cs="Times New Roman"/>
          <w:bCs/>
          <w:color w:val="auto"/>
          <w:sz w:val="32"/>
          <w:szCs w:val="32"/>
          <w:lang w:eastAsia="zh-CN"/>
        </w:rPr>
        <w:t>文旅局</w:t>
      </w:r>
      <w:r>
        <w:rPr>
          <w:rFonts w:hint="default" w:ascii="Times New Roman" w:hAnsi="Times New Roman" w:eastAsia="方正仿宋_GBK" w:cs="Times New Roman"/>
          <w:bCs/>
          <w:color w:val="auto"/>
          <w:sz w:val="32"/>
          <w:szCs w:val="32"/>
        </w:rPr>
        <w:t>政府信息公开工作坚持以习近平新时代中国特色社会主义思想为指导，全面贯彻党的十九大、二十大精神，深入贯彻落实《中华人民共和国政府信息公开条例》。建立健全完善政务信息公开各项工作制度，落实政府信息公开责任 ，及时主动公开相关政府信息。</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bCs/>
          <w:color w:val="auto"/>
          <w:sz w:val="32"/>
          <w:szCs w:val="32"/>
          <w:lang w:val="en-US" w:eastAsia="zh-CN"/>
        </w:rPr>
        <w:t>主动公开情况。</w:t>
      </w:r>
      <w:r>
        <w:rPr>
          <w:rFonts w:hint="default" w:ascii="Times New Roman" w:hAnsi="Times New Roman" w:eastAsia="方正仿宋_GBK" w:cs="Times New Roman"/>
          <w:bCs/>
          <w:color w:val="auto"/>
          <w:sz w:val="32"/>
          <w:szCs w:val="32"/>
        </w:rPr>
        <w:t>202</w:t>
      </w:r>
      <w:r>
        <w:rPr>
          <w:rFonts w:hint="default"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rPr>
        <w:t>年，我局积围绕工作动态、领导分工、公告公示、规章制度等涉及群众切实利益和社会需要广泛知晓的内容，做到应公开、尽公开。全年在“</w:t>
      </w:r>
      <w:r>
        <w:rPr>
          <w:rFonts w:hint="default" w:ascii="Times New Roman" w:hAnsi="Times New Roman" w:eastAsia="方正仿宋_GBK" w:cs="Times New Roman"/>
          <w:bCs/>
          <w:color w:val="auto"/>
          <w:sz w:val="32"/>
          <w:szCs w:val="32"/>
          <w:lang w:eastAsia="zh-CN"/>
        </w:rPr>
        <w:t>浦口</w:t>
      </w:r>
      <w:r>
        <w:rPr>
          <w:rFonts w:hint="default" w:ascii="Times New Roman" w:hAnsi="Times New Roman" w:eastAsia="方正仿宋_GBK" w:cs="Times New Roman"/>
          <w:bCs/>
          <w:color w:val="auto"/>
          <w:sz w:val="32"/>
          <w:szCs w:val="32"/>
        </w:rPr>
        <w:t>区人民政府”</w:t>
      </w:r>
      <w:r>
        <w:rPr>
          <w:rFonts w:hint="default" w:ascii="Times New Roman" w:hAnsi="Times New Roman" w:eastAsia="方正仿宋_GBK" w:cs="Times New Roman"/>
          <w:bCs/>
          <w:color w:val="auto"/>
          <w:sz w:val="32"/>
          <w:szCs w:val="32"/>
          <w:highlight w:val="none"/>
        </w:rPr>
        <w:t>网站上主动公开</w:t>
      </w:r>
      <w:r>
        <w:rPr>
          <w:rFonts w:hint="default" w:ascii="Times New Roman" w:hAnsi="Times New Roman" w:eastAsia="方正仿宋_GBK" w:cs="Times New Roman"/>
          <w:bCs/>
          <w:color w:val="auto"/>
          <w:sz w:val="32"/>
          <w:szCs w:val="32"/>
          <w:highlight w:val="none"/>
          <w:lang w:val="en-US" w:eastAsia="zh-CN"/>
        </w:rPr>
        <w:t>发布文化活动</w:t>
      </w:r>
      <w:r>
        <w:rPr>
          <w:rFonts w:hint="eastAsia" w:ascii="Times New Roman" w:hAnsi="Times New Roman" w:eastAsia="方正仿宋_GBK" w:cs="Times New Roman"/>
          <w:bCs/>
          <w:color w:val="auto"/>
          <w:sz w:val="32"/>
          <w:szCs w:val="32"/>
          <w:highlight w:val="none"/>
          <w:lang w:val="en-US" w:eastAsia="zh-CN"/>
        </w:rPr>
        <w:t>54</w:t>
      </w:r>
      <w:r>
        <w:rPr>
          <w:rFonts w:hint="default" w:ascii="Times New Roman" w:hAnsi="Times New Roman" w:eastAsia="方正仿宋_GBK" w:cs="Times New Roman"/>
          <w:bCs/>
          <w:color w:val="auto"/>
          <w:sz w:val="32"/>
          <w:szCs w:val="32"/>
          <w:highlight w:val="none"/>
          <w:lang w:val="en-US" w:eastAsia="zh-CN"/>
        </w:rPr>
        <w:t>条、公示公告</w:t>
      </w:r>
      <w:r>
        <w:rPr>
          <w:rFonts w:hint="eastAsia" w:ascii="Times New Roman" w:hAnsi="Times New Roman" w:eastAsia="方正仿宋_GBK" w:cs="Times New Roman"/>
          <w:bCs/>
          <w:color w:val="auto"/>
          <w:sz w:val="32"/>
          <w:szCs w:val="32"/>
          <w:highlight w:val="none"/>
          <w:lang w:val="en-US" w:eastAsia="zh-CN"/>
        </w:rPr>
        <w:t>14</w:t>
      </w:r>
      <w:r>
        <w:rPr>
          <w:rFonts w:hint="default" w:ascii="Times New Roman" w:hAnsi="Times New Roman" w:eastAsia="方正仿宋_GBK" w:cs="Times New Roman"/>
          <w:bCs/>
          <w:color w:val="auto"/>
          <w:sz w:val="32"/>
          <w:szCs w:val="32"/>
          <w:highlight w:val="none"/>
          <w:lang w:val="en-US" w:eastAsia="zh-CN"/>
        </w:rPr>
        <w:t>条、财政预算</w:t>
      </w:r>
      <w:r>
        <w:rPr>
          <w:rFonts w:hint="eastAsia" w:ascii="Times New Roman" w:hAnsi="Times New Roman" w:eastAsia="方正仿宋_GBK" w:cs="Times New Roman"/>
          <w:bCs/>
          <w:color w:val="auto"/>
          <w:sz w:val="32"/>
          <w:szCs w:val="32"/>
          <w:highlight w:val="none"/>
          <w:lang w:val="en-US" w:eastAsia="zh-CN"/>
        </w:rPr>
        <w:t>6</w:t>
      </w:r>
      <w:r>
        <w:rPr>
          <w:rFonts w:hint="default" w:ascii="Times New Roman" w:hAnsi="Times New Roman" w:eastAsia="方正仿宋_GBK" w:cs="Times New Roman"/>
          <w:bCs/>
          <w:color w:val="auto"/>
          <w:sz w:val="32"/>
          <w:szCs w:val="32"/>
          <w:highlight w:val="none"/>
          <w:lang w:val="en-US" w:eastAsia="zh-CN"/>
        </w:rPr>
        <w:t>条</w:t>
      </w:r>
      <w:r>
        <w:rPr>
          <w:rFonts w:hint="default" w:ascii="Times New Roman" w:hAnsi="Times New Roman" w:eastAsia="方正仿宋_GBK" w:cs="Times New Roman"/>
          <w:bCs/>
          <w:color w:val="auto"/>
          <w:sz w:val="32"/>
          <w:szCs w:val="32"/>
          <w:lang w:val="en-US" w:eastAsia="zh-CN"/>
        </w:rPr>
        <w:t>；全年报送区政务信息</w:t>
      </w:r>
      <w:r>
        <w:rPr>
          <w:rFonts w:hint="eastAsia" w:ascii="Times New Roman" w:hAnsi="Times New Roman" w:eastAsia="方正仿宋_GBK" w:cs="Times New Roman"/>
          <w:bCs/>
          <w:color w:val="auto"/>
          <w:sz w:val="32"/>
          <w:szCs w:val="32"/>
          <w:lang w:val="en-US" w:eastAsia="zh-CN"/>
        </w:rPr>
        <w:t>188</w:t>
      </w:r>
      <w:r>
        <w:rPr>
          <w:rFonts w:hint="default" w:ascii="Times New Roman" w:hAnsi="Times New Roman" w:eastAsia="方正仿宋_GBK" w:cs="Times New Roman"/>
          <w:bCs/>
          <w:color w:val="auto"/>
          <w:sz w:val="32"/>
          <w:szCs w:val="32"/>
          <w:lang w:val="en-US" w:eastAsia="zh-CN"/>
        </w:rPr>
        <w:t>条，其中：区政府首页采用信息</w:t>
      </w:r>
      <w:r>
        <w:rPr>
          <w:rFonts w:hint="eastAsia" w:ascii="Times New Roman" w:hAnsi="Times New Roman" w:eastAsia="方正仿宋_GBK" w:cs="Times New Roman"/>
          <w:bCs/>
          <w:color w:val="auto"/>
          <w:sz w:val="32"/>
          <w:szCs w:val="32"/>
          <w:lang w:val="en-US" w:eastAsia="zh-CN"/>
        </w:rPr>
        <w:t>40</w:t>
      </w:r>
      <w:r>
        <w:rPr>
          <w:rFonts w:hint="default" w:ascii="Times New Roman" w:hAnsi="Times New Roman" w:eastAsia="方正仿宋_GBK" w:cs="Times New Roman"/>
          <w:bCs/>
          <w:color w:val="auto"/>
          <w:sz w:val="32"/>
          <w:szCs w:val="32"/>
          <w:lang w:val="en-US" w:eastAsia="zh-CN"/>
        </w:rPr>
        <w:t>条、</w:t>
      </w:r>
      <w:r>
        <w:rPr>
          <w:rFonts w:hint="default" w:ascii="Times New Roman" w:hAnsi="Times New Roman" w:eastAsia="方正仿宋_GBK" w:cs="Times New Roman"/>
          <w:sz w:val="32"/>
          <w:szCs w:val="32"/>
          <w:highlight w:val="none"/>
        </w:rPr>
        <w:t>市</w:t>
      </w:r>
      <w:r>
        <w:rPr>
          <w:rFonts w:hint="default" w:ascii="Times New Roman" w:hAnsi="Times New Roman" w:eastAsia="方正仿宋_GBK" w:cs="Times New Roman"/>
          <w:sz w:val="32"/>
          <w:szCs w:val="32"/>
          <w:highlight w:val="none"/>
          <w:lang w:eastAsia="zh-CN"/>
        </w:rPr>
        <w:t>政府</w:t>
      </w:r>
      <w:r>
        <w:rPr>
          <w:rFonts w:hint="default" w:ascii="Times New Roman" w:hAnsi="Times New Roman" w:eastAsia="方正仿宋_GBK" w:cs="Times New Roman"/>
          <w:sz w:val="32"/>
          <w:szCs w:val="32"/>
          <w:highlight w:val="none"/>
        </w:rPr>
        <w:t>采用信息</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条</w:t>
      </w:r>
      <w:r>
        <w:rPr>
          <w:rFonts w:hint="eastAsia" w:ascii="Times New Roman" w:hAnsi="Times New Roman" w:eastAsia="方正仿宋_GBK" w:cs="Times New Roman"/>
          <w:sz w:val="32"/>
          <w:szCs w:val="32"/>
          <w:highlight w:val="none"/>
          <w:lang w:eastAsia="zh-CN"/>
        </w:rPr>
        <w:t>、省政府采用信息</w:t>
      </w:r>
      <w:r>
        <w:rPr>
          <w:rFonts w:hint="eastAsia" w:ascii="Times New Roman" w:hAnsi="Times New Roman" w:eastAsia="方正仿宋_GBK" w:cs="Times New Roman"/>
          <w:sz w:val="32"/>
          <w:szCs w:val="32"/>
          <w:highlight w:val="none"/>
          <w:lang w:val="en-US" w:eastAsia="zh-CN"/>
        </w:rPr>
        <w:t>2条。</w:t>
      </w:r>
      <w:r>
        <w:rPr>
          <w:rFonts w:hint="eastAsia" w:ascii="Times New Roman" w:hAnsi="Times New Roman" w:eastAsia="方正仿宋_GBK" w:cs="Times New Roman"/>
          <w:sz w:val="32"/>
          <w:szCs w:val="32"/>
          <w:highlight w:val="none"/>
          <w:lang w:eastAsia="zh-CN"/>
        </w:rPr>
        <w:t>市局采用信息</w:t>
      </w:r>
      <w:r>
        <w:rPr>
          <w:rFonts w:hint="eastAsia" w:ascii="Times New Roman" w:hAnsi="Times New Roman" w:eastAsia="方正仿宋_GBK" w:cs="Times New Roman"/>
          <w:sz w:val="32"/>
          <w:szCs w:val="32"/>
          <w:highlight w:val="none"/>
          <w:lang w:val="en-US" w:eastAsia="zh-CN"/>
        </w:rPr>
        <w:t>60条、省文旅厅3条、省广电局4条、</w:t>
      </w:r>
      <w:r>
        <w:rPr>
          <w:rFonts w:hint="eastAsia" w:ascii="Times New Roman" w:hAnsi="Times New Roman" w:eastAsia="方正仿宋_GBK" w:cs="Times New Roman"/>
          <w:sz w:val="32"/>
          <w:szCs w:val="32"/>
          <w:highlight w:val="none"/>
          <w:lang w:eastAsia="zh-CN"/>
        </w:rPr>
        <w:t>省体育局</w:t>
      </w:r>
      <w:r>
        <w:rPr>
          <w:rFonts w:hint="eastAsia" w:ascii="Times New Roman" w:hAnsi="Times New Roman" w:eastAsia="方正仿宋_GBK" w:cs="Times New Roman"/>
          <w:sz w:val="32"/>
          <w:szCs w:val="32"/>
          <w:highlight w:val="none"/>
          <w:lang w:val="en-US" w:eastAsia="zh-CN"/>
        </w:rPr>
        <w:t>38条</w:t>
      </w:r>
      <w:r>
        <w:rPr>
          <w:rFonts w:hint="default" w:ascii="Times New Roman" w:hAnsi="Times New Roman" w:eastAsia="方正仿宋_GBK" w:cs="Times New Roman"/>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bCs/>
          <w:color w:val="auto"/>
          <w:sz w:val="32"/>
          <w:szCs w:val="32"/>
          <w:lang w:val="en-US" w:eastAsia="zh-CN"/>
        </w:rPr>
        <w:t>依申请公开情况。</w:t>
      </w:r>
      <w:r>
        <w:rPr>
          <w:rFonts w:hint="default" w:ascii="Times New Roman" w:hAnsi="Times New Roman" w:eastAsia="方正仿宋_GBK" w:cs="Times New Roman"/>
          <w:bCs/>
          <w:color w:val="auto"/>
          <w:sz w:val="32"/>
          <w:szCs w:val="32"/>
        </w:rPr>
        <w:t>202</w:t>
      </w:r>
      <w:r>
        <w:rPr>
          <w:rFonts w:hint="default"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rPr>
        <w:t>年我局健全完善了依申请公开答复文本，进一步规范了政务公开答复格式规范。面向社会公开办公电话、投诉电话。全年我局未接到政府信息公开相关事项的申请。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楷体_GBK" w:cs="Times New Roman"/>
          <w:bCs/>
          <w:color w:val="auto"/>
          <w:sz w:val="32"/>
          <w:szCs w:val="32"/>
          <w:lang w:val="en-US" w:eastAsia="zh-CN"/>
        </w:rPr>
        <w:t>政府信息管理情况。</w:t>
      </w:r>
      <w:r>
        <w:rPr>
          <w:rFonts w:hint="default" w:ascii="Times New Roman" w:hAnsi="Times New Roman" w:eastAsia="方正仿宋_GBK" w:cs="Times New Roman"/>
          <w:bCs/>
          <w:color w:val="auto"/>
          <w:sz w:val="32"/>
          <w:szCs w:val="32"/>
        </w:rPr>
        <w:t>今年我局根据最新领导分工重新调整政务公开领导小组，着重抓好制度建设、加强组织领导，明确“一把手”为第一责任人，分管领导为直接责任人，深化信息报送及录用考核机制。由局办公室具体落实政务公开工作，紧密结合</w:t>
      </w:r>
      <w:r>
        <w:rPr>
          <w:rFonts w:hint="default" w:ascii="Times New Roman" w:hAnsi="Times New Roman" w:eastAsia="方正仿宋_GBK" w:cs="Times New Roman"/>
          <w:bCs/>
          <w:color w:val="auto"/>
          <w:sz w:val="32"/>
          <w:szCs w:val="32"/>
          <w:lang w:val="en-US" w:eastAsia="zh-CN"/>
        </w:rPr>
        <w:t>文旅体</w:t>
      </w:r>
      <w:r>
        <w:rPr>
          <w:rFonts w:hint="default" w:ascii="Times New Roman" w:hAnsi="Times New Roman" w:eastAsia="方正仿宋_GBK" w:cs="Times New Roman"/>
          <w:bCs/>
          <w:color w:val="auto"/>
          <w:sz w:val="32"/>
          <w:szCs w:val="32"/>
        </w:rPr>
        <w:t>工作要点，与全区信息公开要点，切实做好局信息公开、政策解读、回应关切等工作，强力督促政务信息公开。</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楷体_GBK" w:cs="Times New Roman"/>
          <w:bCs/>
          <w:color w:val="auto"/>
          <w:kern w:val="2"/>
          <w:sz w:val="32"/>
          <w:szCs w:val="32"/>
          <w:lang w:val="en-US" w:eastAsia="zh-CN" w:bidi="ar-SA"/>
        </w:rPr>
        <w:t>平台建设情况。</w:t>
      </w:r>
      <w:r>
        <w:rPr>
          <w:rFonts w:hint="default" w:ascii="Times New Roman" w:hAnsi="Times New Roman" w:eastAsia="方正仿宋_GBK" w:cs="Times New Roman"/>
          <w:bCs/>
          <w:color w:val="auto"/>
          <w:kern w:val="2"/>
          <w:sz w:val="32"/>
          <w:szCs w:val="32"/>
          <w:lang w:val="en-US" w:eastAsia="zh-CN" w:bidi="ar-SA"/>
        </w:rPr>
        <w:t>积极打造新媒体平台全方位政务公开矩阵，落实专人负责新媒体平台运营管理，充分利用各新媒体平台发布</w:t>
      </w:r>
      <w:r>
        <w:rPr>
          <w:rFonts w:hint="default" w:ascii="Times New Roman" w:hAnsi="Times New Roman" w:eastAsia="方正仿宋_GBK" w:cs="Times New Roman"/>
          <w:bCs/>
          <w:color w:val="auto"/>
          <w:sz w:val="32"/>
          <w:szCs w:val="32"/>
          <w:lang w:val="en-US" w:eastAsia="zh-CN"/>
        </w:rPr>
        <w:t>场馆免费开放、</w:t>
      </w:r>
      <w:r>
        <w:rPr>
          <w:rFonts w:hint="default" w:ascii="Times New Roman" w:hAnsi="Times New Roman" w:eastAsia="方正仿宋_GBK" w:cs="Times New Roman"/>
          <w:bCs/>
          <w:color w:val="auto"/>
          <w:kern w:val="2"/>
          <w:sz w:val="32"/>
          <w:szCs w:val="32"/>
          <w:lang w:val="en-US" w:eastAsia="zh-CN" w:bidi="ar-SA"/>
        </w:rPr>
        <w:t>文旅活动、体育赛事等政务信息。</w:t>
      </w:r>
      <w:r>
        <w:rPr>
          <w:rFonts w:hint="default" w:ascii="Times New Roman" w:hAnsi="Times New Roman" w:eastAsia="方正仿宋_GBK" w:cs="Times New Roman"/>
          <w:bCs/>
          <w:color w:val="auto"/>
          <w:kern w:val="2"/>
          <w:sz w:val="32"/>
          <w:szCs w:val="32"/>
          <w:highlight w:val="none"/>
          <w:lang w:val="en-US" w:eastAsia="zh-CN" w:bidi="ar-SA"/>
        </w:rPr>
        <w:t>截至目前今年共发布微信</w:t>
      </w:r>
      <w:r>
        <w:rPr>
          <w:rFonts w:hint="eastAsia" w:ascii="Times New Roman" w:hAnsi="Times New Roman" w:eastAsia="方正仿宋_GBK" w:cs="Times New Roman"/>
          <w:bCs/>
          <w:color w:val="auto"/>
          <w:kern w:val="2"/>
          <w:sz w:val="32"/>
          <w:szCs w:val="32"/>
          <w:highlight w:val="none"/>
          <w:lang w:val="en-US" w:eastAsia="zh-CN" w:bidi="ar-SA"/>
        </w:rPr>
        <w:t>501</w:t>
      </w:r>
      <w:r>
        <w:rPr>
          <w:rFonts w:hint="default" w:ascii="Times New Roman" w:hAnsi="Times New Roman" w:eastAsia="方正仿宋_GBK" w:cs="Times New Roman"/>
          <w:bCs/>
          <w:color w:val="auto"/>
          <w:kern w:val="2"/>
          <w:sz w:val="32"/>
          <w:szCs w:val="32"/>
          <w:highlight w:val="none"/>
          <w:lang w:val="en-US" w:eastAsia="zh-CN" w:bidi="ar-SA"/>
        </w:rPr>
        <w:t>条，</w:t>
      </w:r>
      <w:r>
        <w:rPr>
          <w:rFonts w:hint="eastAsia" w:ascii="Times New Roman" w:hAnsi="Times New Roman" w:eastAsia="方正仿宋_GBK" w:cs="Times New Roman"/>
          <w:bCs/>
          <w:color w:val="auto"/>
          <w:kern w:val="2"/>
          <w:sz w:val="32"/>
          <w:szCs w:val="32"/>
          <w:highlight w:val="none"/>
          <w:lang w:val="en-US" w:eastAsia="zh-CN" w:bidi="ar-SA"/>
        </w:rPr>
        <w:t>新浪微博146</w:t>
      </w:r>
      <w:r>
        <w:rPr>
          <w:rFonts w:hint="default" w:ascii="Times New Roman" w:hAnsi="Times New Roman" w:eastAsia="方正仿宋_GBK" w:cs="Times New Roman"/>
          <w:bCs/>
          <w:color w:val="auto"/>
          <w:kern w:val="2"/>
          <w:sz w:val="32"/>
          <w:szCs w:val="32"/>
          <w:highlight w:val="none"/>
          <w:lang w:val="en-US" w:eastAsia="zh-CN" w:bidi="ar-SA"/>
        </w:rPr>
        <w:t>条，抖音</w:t>
      </w:r>
      <w:r>
        <w:rPr>
          <w:rFonts w:hint="eastAsia" w:ascii="Times New Roman" w:hAnsi="Times New Roman" w:eastAsia="方正仿宋_GBK" w:cs="Times New Roman"/>
          <w:bCs/>
          <w:color w:val="auto"/>
          <w:kern w:val="2"/>
          <w:sz w:val="32"/>
          <w:szCs w:val="32"/>
          <w:highlight w:val="none"/>
          <w:lang w:val="en-US" w:eastAsia="zh-CN" w:bidi="ar-SA"/>
        </w:rPr>
        <w:t>103</w:t>
      </w:r>
      <w:r>
        <w:rPr>
          <w:rFonts w:hint="default" w:ascii="Times New Roman" w:hAnsi="Times New Roman" w:eastAsia="方正仿宋_GBK" w:cs="Times New Roman"/>
          <w:bCs/>
          <w:color w:val="auto"/>
          <w:kern w:val="2"/>
          <w:sz w:val="32"/>
          <w:szCs w:val="32"/>
          <w:highlight w:val="none"/>
          <w:lang w:val="en-US" w:eastAsia="zh-CN" w:bidi="ar-SA"/>
        </w:rPr>
        <w:t>条，</w:t>
      </w:r>
      <w:r>
        <w:rPr>
          <w:rFonts w:hint="default" w:ascii="Times New Roman" w:hAnsi="Times New Roman" w:eastAsia="方正仿宋_GBK" w:cs="Times New Roman"/>
          <w:bCs/>
          <w:color w:val="auto"/>
          <w:kern w:val="2"/>
          <w:sz w:val="32"/>
          <w:szCs w:val="32"/>
          <w:lang w:val="en-US" w:eastAsia="zh-CN" w:bidi="ar-SA"/>
        </w:rPr>
        <w:t>政务公开载体更多元、信息传递更便捷、内容形式更丰富，有效扩大政务公开的覆盖面和影响力。</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bCs/>
          <w:color w:val="auto"/>
          <w:kern w:val="2"/>
          <w:sz w:val="32"/>
          <w:szCs w:val="32"/>
          <w:lang w:val="en-US" w:eastAsia="zh-CN" w:bidi="ar-SA"/>
        </w:rPr>
        <w:t>（五</w:t>
      </w:r>
      <w:r>
        <w:rPr>
          <w:rFonts w:hint="default" w:ascii="Times New Roman" w:hAnsi="Times New Roman" w:eastAsia="方正楷体_GBK" w:cs="Times New Roman"/>
          <w:bCs/>
          <w:color w:val="auto"/>
          <w:kern w:val="2"/>
          <w:sz w:val="32"/>
          <w:szCs w:val="32"/>
          <w:lang w:val="en-US" w:eastAsia="zh-CN" w:bidi="ar-SA"/>
        </w:rPr>
        <w:t>）监督保障情况。</w:t>
      </w:r>
      <w:r>
        <w:rPr>
          <w:rFonts w:hint="default" w:ascii="Times New Roman" w:hAnsi="Times New Roman" w:eastAsia="方正仿宋_GBK" w:cs="Times New Roman"/>
          <w:bCs/>
          <w:color w:val="auto"/>
          <w:kern w:val="2"/>
          <w:sz w:val="32"/>
          <w:szCs w:val="32"/>
          <w:lang w:val="en-US" w:eastAsia="zh-CN" w:bidi="ar-SA"/>
        </w:rPr>
        <w:t>2023年我局围绕政府信息公开的范围、内容、形式等，常态化监督检查政务公开情况，建立健全信息公开审核、保密安全制度，要求遵循“谁公开、谁负责”和“先审查、后公开”的原则，对拟公开的信息严格实行三级审核机制，</w:t>
      </w:r>
      <w:r>
        <w:rPr>
          <w:rFonts w:hint="default" w:ascii="Times New Roman" w:hAnsi="Times New Roman" w:eastAsia="方正仿宋_GBK" w:cs="Times New Roman"/>
          <w:bCs/>
          <w:color w:val="auto"/>
          <w:sz w:val="32"/>
          <w:szCs w:val="32"/>
        </w:rPr>
        <w:t>相应公开信息明确由业务分管领导和政府信息工作分管领导共同审查通过后发布，</w:t>
      </w:r>
      <w:r>
        <w:rPr>
          <w:rFonts w:hint="default" w:ascii="Times New Roman" w:hAnsi="Times New Roman" w:eastAsia="方正仿宋_GBK" w:cs="Times New Roman"/>
          <w:bCs/>
          <w:color w:val="auto"/>
          <w:kern w:val="2"/>
          <w:sz w:val="32"/>
          <w:szCs w:val="32"/>
          <w:lang w:val="en-US" w:eastAsia="zh-CN" w:bidi="ar-SA"/>
        </w:rPr>
        <w:t>确保内容准确、表述规范，可公开。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微软雅黑" w:cs="Times New Roman"/>
          <w:i w:val="0"/>
          <w:iCs w:val="0"/>
          <w:caps w:val="0"/>
          <w:color w:val="666666"/>
          <w:spacing w:val="0"/>
          <w:sz w:val="24"/>
          <w:szCs w:val="24"/>
        </w:rPr>
      </w:pPr>
      <w:r>
        <w:rPr>
          <w:rFonts w:hint="default" w:ascii="Times New Roman" w:hAnsi="Times New Roman" w:eastAsia="方正黑体_GBK" w:cs="Times New Roman"/>
          <w:sz w:val="32"/>
          <w:szCs w:val="32"/>
        </w:rPr>
        <w:t>二、主动公开政府信息情况</w:t>
      </w:r>
    </w:p>
    <w:tbl>
      <w:tblPr>
        <w:tblStyle w:val="5"/>
        <w:tblW w:w="813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62"/>
        <w:gridCol w:w="1450"/>
        <w:gridCol w:w="1342"/>
        <w:gridCol w:w="23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1" w:hRule="atLeast"/>
          <w:tblCellSpacing w:w="0" w:type="dxa"/>
          <w:jc w:val="center"/>
        </w:trPr>
        <w:tc>
          <w:tcPr>
            <w:tcW w:w="7905" w:type="dxa"/>
            <w:gridSpan w:val="4"/>
            <w:shd w:val="clear" w:color="auto" w:fill="C6D9F1"/>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信息内容</w:t>
            </w:r>
          </w:p>
        </w:tc>
        <w:tc>
          <w:tcPr>
            <w:tcW w:w="141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本年制发件数</w:t>
            </w:r>
          </w:p>
        </w:tc>
        <w:tc>
          <w:tcPr>
            <w:tcW w:w="130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本年废止件数</w:t>
            </w:r>
          </w:p>
        </w:tc>
        <w:tc>
          <w:tcPr>
            <w:tcW w:w="16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规章</w:t>
            </w:r>
          </w:p>
        </w:tc>
        <w:tc>
          <w:tcPr>
            <w:tcW w:w="141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000000"/>
                <w:sz w:val="18"/>
                <w:szCs w:val="18"/>
              </w:rPr>
              <w:t>0</w:t>
            </w:r>
          </w:p>
        </w:tc>
        <w:tc>
          <w:tcPr>
            <w:tcW w:w="130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000000"/>
                <w:sz w:val="18"/>
                <w:szCs w:val="18"/>
              </w:rPr>
              <w:t>0 </w:t>
            </w:r>
          </w:p>
        </w:tc>
        <w:tc>
          <w:tcPr>
            <w:tcW w:w="16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　</w:t>
            </w:r>
            <w:r>
              <w:rPr>
                <w:rFonts w:hint="default" w:ascii="Times New Roman" w:hAnsi="Times New Roman" w:eastAsia="微软雅黑" w:cs="Times New Roman"/>
                <w:color w:val="000000"/>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6"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规范性文件</w:t>
            </w:r>
          </w:p>
        </w:tc>
        <w:tc>
          <w:tcPr>
            <w:tcW w:w="141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000000"/>
                <w:sz w:val="18"/>
                <w:szCs w:val="18"/>
              </w:rPr>
              <w:t>0</w:t>
            </w:r>
          </w:p>
        </w:tc>
        <w:tc>
          <w:tcPr>
            <w:tcW w:w="130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000000"/>
                <w:sz w:val="18"/>
                <w:szCs w:val="18"/>
              </w:rPr>
              <w:t>0 </w:t>
            </w:r>
          </w:p>
        </w:tc>
        <w:tc>
          <w:tcPr>
            <w:tcW w:w="16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　</w:t>
            </w:r>
            <w:r>
              <w:rPr>
                <w:rFonts w:hint="default" w:ascii="Times New Roman" w:hAnsi="Times New Roman" w:eastAsia="微软雅黑" w:cs="Times New Roman"/>
                <w:color w:val="000000"/>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1" w:hRule="atLeast"/>
          <w:tblCellSpacing w:w="0" w:type="dxa"/>
          <w:jc w:val="center"/>
        </w:trPr>
        <w:tc>
          <w:tcPr>
            <w:tcW w:w="7905" w:type="dxa"/>
            <w:gridSpan w:val="4"/>
            <w:shd w:val="clear" w:color="auto" w:fill="C6D9F1"/>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信息内容</w:t>
            </w:r>
          </w:p>
        </w:tc>
        <w:tc>
          <w:tcPr>
            <w:tcW w:w="4800"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行政许可</w:t>
            </w:r>
          </w:p>
        </w:tc>
        <w:tc>
          <w:tcPr>
            <w:tcW w:w="4800"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color w:val="00000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6" w:hRule="atLeast"/>
          <w:tblCellSpacing w:w="0" w:type="dxa"/>
          <w:jc w:val="center"/>
        </w:trPr>
        <w:tc>
          <w:tcPr>
            <w:tcW w:w="7905" w:type="dxa"/>
            <w:gridSpan w:val="4"/>
            <w:shd w:val="clear" w:color="auto" w:fill="C6D9F1"/>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信息内容</w:t>
            </w:r>
          </w:p>
        </w:tc>
        <w:tc>
          <w:tcPr>
            <w:tcW w:w="4800"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行政处罚</w:t>
            </w:r>
          </w:p>
        </w:tc>
        <w:tc>
          <w:tcPr>
            <w:tcW w:w="4800"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color w:val="00000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6"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行政强制</w:t>
            </w:r>
          </w:p>
        </w:tc>
        <w:tc>
          <w:tcPr>
            <w:tcW w:w="4800"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color w:val="00000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1" w:hRule="atLeast"/>
          <w:tblCellSpacing w:w="0" w:type="dxa"/>
          <w:jc w:val="center"/>
        </w:trPr>
        <w:tc>
          <w:tcPr>
            <w:tcW w:w="7905" w:type="dxa"/>
            <w:gridSpan w:val="4"/>
            <w:shd w:val="clear" w:color="auto" w:fill="C6D9F1"/>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信息内容</w:t>
            </w:r>
          </w:p>
        </w:tc>
        <w:tc>
          <w:tcPr>
            <w:tcW w:w="4800"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tblCellSpacing w:w="0" w:type="dxa"/>
          <w:jc w:val="center"/>
        </w:trPr>
        <w:tc>
          <w:tcPr>
            <w:tcW w:w="288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rPr>
              <w:t>行政事业性收费</w:t>
            </w:r>
          </w:p>
        </w:tc>
        <w:tc>
          <w:tcPr>
            <w:tcW w:w="4800"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000000"/>
                <w:sz w:val="18"/>
                <w:szCs w:val="18"/>
                <w:lang w:val="en-US" w:eastAsia="zh-CN"/>
              </w:rPr>
              <w:t>0</w:t>
            </w:r>
            <w:r>
              <w:rPr>
                <w:rFonts w:hint="default" w:ascii="Times New Roman" w:hAnsi="Times New Roman" w:eastAsia="宋体" w:cs="Times New Roman"/>
                <w:color w:val="000000"/>
                <w:sz w:val="18"/>
                <w:szCs w:val="18"/>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right="0"/>
        <w:rPr>
          <w:rFonts w:hint="default" w:ascii="Times New Roman" w:hAnsi="Times New Roman" w:eastAsia="微软雅黑" w:cs="Times New Roman"/>
          <w:i w:val="0"/>
          <w:iCs w:val="0"/>
          <w:caps w:val="0"/>
          <w:color w:val="666666"/>
          <w:spacing w:val="0"/>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收到和处理政府信息公开申请情况</w:t>
      </w:r>
    </w:p>
    <w:p>
      <w:pPr>
        <w:spacing w:line="540" w:lineRule="exact"/>
        <w:ind w:firstLine="640" w:firstLineChars="200"/>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区文旅局未收到政府信息公开申请。</w:t>
      </w:r>
    </w:p>
    <w:tbl>
      <w:tblPr>
        <w:tblStyle w:val="5"/>
        <w:tblW w:w="825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4"/>
        <w:gridCol w:w="724"/>
        <w:gridCol w:w="1745"/>
        <w:gridCol w:w="491"/>
        <w:gridCol w:w="450"/>
        <w:gridCol w:w="450"/>
        <w:gridCol w:w="491"/>
        <w:gridCol w:w="603"/>
        <w:gridCol w:w="1204"/>
        <w:gridCol w:w="15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003" w:type="dxa"/>
            <w:gridSpan w:val="3"/>
            <w:vMerge w:val="restart"/>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（本列数据的勾稽关系为：第一项加第二项之和，等于第三项加第四项之和）</w:t>
            </w:r>
          </w:p>
        </w:tc>
        <w:tc>
          <w:tcPr>
            <w:tcW w:w="5256" w:type="dxa"/>
            <w:gridSpan w:val="7"/>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003" w:type="dxa"/>
            <w:gridSpan w:val="3"/>
            <w:vMerge w:val="continue"/>
            <w:shd w:val="clear" w:color="auto" w:fill="auto"/>
            <w:vAlign w:val="center"/>
          </w:tcPr>
          <w:p>
            <w:pPr>
              <w:rPr>
                <w:rFonts w:hint="default" w:ascii="Times New Roman" w:hAnsi="Times New Roman" w:eastAsia="微软雅黑" w:cs="Times New Roman"/>
                <w:color w:val="3C3C3C"/>
                <w:sz w:val="21"/>
                <w:szCs w:val="21"/>
              </w:rPr>
            </w:pPr>
          </w:p>
        </w:tc>
        <w:tc>
          <w:tcPr>
            <w:tcW w:w="491" w:type="dxa"/>
            <w:vMerge w:val="restart"/>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自然人</w:t>
            </w:r>
          </w:p>
        </w:tc>
        <w:tc>
          <w:tcPr>
            <w:tcW w:w="3198" w:type="dxa"/>
            <w:gridSpan w:val="5"/>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法人或其他组织</w:t>
            </w:r>
          </w:p>
        </w:tc>
        <w:tc>
          <w:tcPr>
            <w:tcW w:w="1567" w:type="dxa"/>
            <w:vMerge w:val="restart"/>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003" w:type="dxa"/>
            <w:gridSpan w:val="3"/>
            <w:vMerge w:val="continue"/>
            <w:shd w:val="clear" w:color="auto" w:fill="auto"/>
            <w:vAlign w:val="center"/>
          </w:tcPr>
          <w:p>
            <w:pPr>
              <w:rPr>
                <w:rFonts w:hint="default" w:ascii="Times New Roman" w:hAnsi="Times New Roman" w:eastAsia="微软雅黑" w:cs="Times New Roman"/>
                <w:color w:val="3C3C3C"/>
                <w:sz w:val="21"/>
                <w:szCs w:val="21"/>
              </w:rPr>
            </w:pPr>
          </w:p>
        </w:tc>
        <w:tc>
          <w:tcPr>
            <w:tcW w:w="491"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商业企业</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科研机构</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社会公益组织</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法律服务机构</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其他</w:t>
            </w:r>
          </w:p>
        </w:tc>
        <w:tc>
          <w:tcPr>
            <w:tcW w:w="1567" w:type="dxa"/>
            <w:vMerge w:val="continue"/>
            <w:shd w:val="clear" w:color="auto" w:fill="auto"/>
            <w:vAlign w:val="center"/>
          </w:tcPr>
          <w:p>
            <w:pPr>
              <w:rPr>
                <w:rFonts w:hint="default" w:ascii="Times New Roman" w:hAnsi="Times New Roman" w:eastAsia="微软雅黑" w:cs="Times New Roman"/>
                <w:color w:val="3C3C3C"/>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003"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一、本年新收政府信息公开申请数量</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color w:val="333333"/>
                <w:sz w:val="18"/>
                <w:szCs w:val="18"/>
                <w:lang w:val="en-US" w:eastAsia="zh-CN"/>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color w:val="333333"/>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003"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二、上年结转政府信息公开申请数量</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restart"/>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三、本年度办理结果</w:t>
            </w:r>
          </w:p>
        </w:tc>
        <w:tc>
          <w:tcPr>
            <w:tcW w:w="2469" w:type="dxa"/>
            <w:gridSpan w:val="2"/>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方正楷体简体" w:cs="Times New Roman"/>
                <w:color w:val="333333"/>
                <w:sz w:val="18"/>
                <w:szCs w:val="18"/>
              </w:rPr>
              <w:t>（一）予以公开</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0 </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0 </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2469" w:type="dxa"/>
            <w:gridSpan w:val="2"/>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方正楷体简体" w:cs="Times New Roman"/>
                <w:color w:val="333333"/>
                <w:sz w:val="18"/>
                <w:szCs w:val="18"/>
              </w:rPr>
              <w:t>（二）部分公开（区分处理的，只计这一情形，不计其他情形）</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0 </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restart"/>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方正楷体简体" w:cs="Times New Roman"/>
                <w:color w:val="333333"/>
                <w:sz w:val="18"/>
                <w:szCs w:val="18"/>
              </w:rPr>
              <w:t>（三）不予公开</w:t>
            </w: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1.</w:t>
            </w:r>
            <w:r>
              <w:rPr>
                <w:rFonts w:hint="default" w:ascii="Times New Roman" w:hAnsi="Times New Roman" w:eastAsia="方正楷体简体" w:cs="Times New Roman"/>
                <w:color w:val="333333"/>
                <w:sz w:val="18"/>
                <w:szCs w:val="18"/>
              </w:rPr>
              <w:t>属于国家秘密</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2.</w:t>
            </w:r>
            <w:r>
              <w:rPr>
                <w:rFonts w:hint="default" w:ascii="Times New Roman" w:hAnsi="Times New Roman" w:eastAsia="方正楷体简体" w:cs="Times New Roman"/>
                <w:color w:val="333333"/>
                <w:sz w:val="18"/>
                <w:szCs w:val="18"/>
              </w:rPr>
              <w:t>其他法律行政法规禁止公开</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3.</w:t>
            </w:r>
            <w:r>
              <w:rPr>
                <w:rFonts w:hint="default" w:ascii="Times New Roman" w:hAnsi="Times New Roman" w:eastAsia="方正楷体简体" w:cs="Times New Roman"/>
                <w:color w:val="333333"/>
                <w:sz w:val="18"/>
                <w:szCs w:val="18"/>
              </w:rPr>
              <w:t>危及“三安全一稳定”</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4.</w:t>
            </w:r>
            <w:r>
              <w:rPr>
                <w:rFonts w:hint="default" w:ascii="Times New Roman" w:hAnsi="Times New Roman" w:eastAsia="方正楷体简体" w:cs="Times New Roman"/>
                <w:color w:val="333333"/>
                <w:sz w:val="18"/>
                <w:szCs w:val="18"/>
              </w:rPr>
              <w:t>保护第三方合法权益</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eastAsia" w:ascii="Times New Roman" w:hAnsi="Times New Roman" w:eastAsia="微软雅黑" w:cs="Times New Roman"/>
                <w:sz w:val="24"/>
                <w:szCs w:val="24"/>
                <w:lang w:eastAsia="zh-CN"/>
              </w:rPr>
            </w:pPr>
            <w:r>
              <w:rPr>
                <w:rFonts w:hint="eastAsia" w:ascii="Times New Roman" w:hAnsi="Times New Roman" w:eastAsia="微软雅黑" w:cs="Times New Roman"/>
                <w:color w:val="333333"/>
                <w:sz w:val="18"/>
                <w:szCs w:val="18"/>
                <w:lang w:val="en-US" w:eastAsia="zh-CN"/>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5.</w:t>
            </w:r>
            <w:r>
              <w:rPr>
                <w:rFonts w:hint="default" w:ascii="Times New Roman" w:hAnsi="Times New Roman" w:eastAsia="方正楷体简体" w:cs="Times New Roman"/>
                <w:color w:val="333333"/>
                <w:sz w:val="18"/>
                <w:szCs w:val="18"/>
              </w:rPr>
              <w:t>属于三类内部事务信息</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6.</w:t>
            </w:r>
            <w:r>
              <w:rPr>
                <w:rFonts w:hint="default" w:ascii="Times New Roman" w:hAnsi="Times New Roman" w:eastAsia="方正楷体简体" w:cs="Times New Roman"/>
                <w:color w:val="333333"/>
                <w:sz w:val="18"/>
                <w:szCs w:val="18"/>
              </w:rPr>
              <w:t>属于四类过程性信息</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7.</w:t>
            </w:r>
            <w:r>
              <w:rPr>
                <w:rFonts w:hint="default" w:ascii="Times New Roman" w:hAnsi="Times New Roman" w:eastAsia="方正楷体简体" w:cs="Times New Roman"/>
                <w:color w:val="333333"/>
                <w:sz w:val="18"/>
                <w:szCs w:val="18"/>
              </w:rPr>
              <w:t>属于行政执法案卷</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8.</w:t>
            </w:r>
            <w:r>
              <w:rPr>
                <w:rFonts w:hint="default" w:ascii="Times New Roman" w:hAnsi="Times New Roman" w:eastAsia="方正楷体简体" w:cs="Times New Roman"/>
                <w:color w:val="333333"/>
                <w:sz w:val="18"/>
                <w:szCs w:val="18"/>
              </w:rPr>
              <w:t>属于行政查询事项</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restart"/>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楷体" w:cs="Times New Roman"/>
                <w:color w:val="333333"/>
                <w:sz w:val="18"/>
                <w:szCs w:val="18"/>
              </w:rPr>
              <w:t>（四）无法提供</w:t>
            </w: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1.</w:t>
            </w:r>
            <w:r>
              <w:rPr>
                <w:rFonts w:hint="default" w:ascii="Times New Roman" w:hAnsi="Times New Roman" w:eastAsia="方正楷体简体" w:cs="Times New Roman"/>
                <w:color w:val="333333"/>
                <w:sz w:val="18"/>
                <w:szCs w:val="18"/>
              </w:rPr>
              <w:t>本机关不掌握相关政府信息</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color w:val="333333"/>
                <w:sz w:val="18"/>
                <w:szCs w:val="18"/>
                <w:lang w:val="en-US" w:eastAsia="zh-CN"/>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0 </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eastAsia="微软雅黑" w:cs="Times New Roman"/>
                <w:sz w:val="24"/>
                <w:szCs w:val="24"/>
                <w:lang w:eastAsia="zh-CN"/>
              </w:rPr>
            </w:pPr>
            <w:r>
              <w:rPr>
                <w:rFonts w:hint="default" w:ascii="Times New Roman" w:hAnsi="Times New Roman" w:eastAsia="微软雅黑" w:cs="Times New Roman"/>
                <w:color w:val="333333"/>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2.</w:t>
            </w:r>
            <w:r>
              <w:rPr>
                <w:rFonts w:hint="default" w:ascii="Times New Roman" w:hAnsi="Times New Roman" w:eastAsia="方正楷体简体" w:cs="Times New Roman"/>
                <w:color w:val="333333"/>
                <w:sz w:val="18"/>
                <w:szCs w:val="18"/>
              </w:rPr>
              <w:t>没有现成信息需要另行制作</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3.</w:t>
            </w:r>
            <w:r>
              <w:rPr>
                <w:rFonts w:hint="default" w:ascii="Times New Roman" w:hAnsi="Times New Roman" w:eastAsia="方正楷体简体" w:cs="Times New Roman"/>
                <w:color w:val="333333"/>
                <w:sz w:val="18"/>
                <w:szCs w:val="18"/>
              </w:rPr>
              <w:t>补正后申请内容仍不明确</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restart"/>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楷体" w:cs="Times New Roman"/>
                <w:color w:val="333333"/>
                <w:sz w:val="18"/>
                <w:szCs w:val="18"/>
              </w:rPr>
              <w:t>（五）不予处理</w:t>
            </w: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1.</w:t>
            </w:r>
            <w:r>
              <w:rPr>
                <w:rFonts w:hint="default" w:ascii="Times New Roman" w:hAnsi="Times New Roman" w:eastAsia="方正楷体简体" w:cs="Times New Roman"/>
                <w:color w:val="333333"/>
                <w:sz w:val="18"/>
                <w:szCs w:val="18"/>
              </w:rPr>
              <w:t>信访举报投诉类申请</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2.</w:t>
            </w:r>
            <w:r>
              <w:rPr>
                <w:rFonts w:hint="default" w:ascii="Times New Roman" w:hAnsi="Times New Roman" w:eastAsia="方正楷体简体" w:cs="Times New Roman"/>
                <w:color w:val="333333"/>
                <w:sz w:val="18"/>
                <w:szCs w:val="18"/>
              </w:rPr>
              <w:t>重复申请</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3.</w:t>
            </w:r>
            <w:r>
              <w:rPr>
                <w:rFonts w:hint="default" w:ascii="Times New Roman" w:hAnsi="Times New Roman" w:eastAsia="方正楷体简体" w:cs="Times New Roman"/>
                <w:color w:val="333333"/>
                <w:sz w:val="18"/>
                <w:szCs w:val="18"/>
              </w:rPr>
              <w:t>要求提供公开出版物</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4.</w:t>
            </w:r>
            <w:r>
              <w:rPr>
                <w:rFonts w:hint="default" w:ascii="Times New Roman" w:hAnsi="Times New Roman" w:eastAsia="方正楷体简体" w:cs="Times New Roman"/>
                <w:color w:val="333333"/>
                <w:sz w:val="18"/>
                <w:szCs w:val="18"/>
              </w:rPr>
              <w:t>无正当理由大量反复申请</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bookmarkStart w:id="0" w:name="_GoBack"/>
            <w:bookmarkEnd w:id="0"/>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5.</w:t>
            </w:r>
            <w:r>
              <w:rPr>
                <w:rFonts w:hint="default" w:ascii="Times New Roman" w:hAnsi="Times New Roman" w:eastAsia="方正楷体简体" w:cs="Times New Roman"/>
                <w:color w:val="333333"/>
                <w:sz w:val="18"/>
                <w:szCs w:val="18"/>
              </w:rPr>
              <w:t>要求行政机关确认或重新出具已获取信息</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restart"/>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方正楷体简体" w:cs="Times New Roman"/>
                <w:color w:val="333333"/>
                <w:sz w:val="18"/>
                <w:szCs w:val="18"/>
              </w:rPr>
              <w:t>（六）其他处理</w:t>
            </w: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方正楷体简体" w:cs="Times New Roman"/>
                <w:color w:val="333333"/>
                <w:sz w:val="18"/>
                <w:szCs w:val="18"/>
              </w:rPr>
              <w:t>申请人无正当理由逾期不补正、行政机关不再处理其政府信息公开申请</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eastAsiaTheme="minorEastAsia"/>
                <w:sz w:val="24"/>
                <w:szCs w:val="24"/>
                <w:lang w:eastAsia="zh-CN"/>
              </w:rPr>
            </w:pPr>
            <w:r>
              <w:rPr>
                <w:rFonts w:hint="default" w:ascii="Times New Roman" w:hAnsi="Times New Roman" w:eastAsia="微软雅黑" w:cs="Times New Roman"/>
                <w:color w:val="333333"/>
                <w:sz w:val="24"/>
                <w:szCs w:val="24"/>
                <w:lang w:val="en-US" w:eastAsia="zh-CN"/>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eastAsia="微软雅黑" w:cs="Times New Roman"/>
                <w:sz w:val="24"/>
                <w:szCs w:val="24"/>
                <w:lang w:eastAsia="zh-CN"/>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方正楷体简体" w:cs="Times New Roman"/>
                <w:color w:val="333333"/>
                <w:sz w:val="18"/>
                <w:szCs w:val="18"/>
              </w:rPr>
              <w:t>申请人逾期未按收费通知要求缴纳费用、行政机关不再处理其政府信息公开申请</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72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1745"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方正楷体简体" w:cs="Times New Roman"/>
                <w:color w:val="333333"/>
                <w:sz w:val="18"/>
                <w:szCs w:val="18"/>
              </w:rPr>
              <w:t>其他</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34" w:type="dxa"/>
            <w:vMerge w:val="continue"/>
            <w:shd w:val="clear" w:color="auto" w:fill="auto"/>
            <w:vAlign w:val="center"/>
          </w:tcPr>
          <w:p>
            <w:pPr>
              <w:rPr>
                <w:rFonts w:hint="default" w:ascii="Times New Roman" w:hAnsi="Times New Roman" w:eastAsia="微软雅黑" w:cs="Times New Roman"/>
                <w:color w:val="3C3C3C"/>
                <w:sz w:val="21"/>
                <w:szCs w:val="21"/>
              </w:rPr>
            </w:pPr>
          </w:p>
        </w:tc>
        <w:tc>
          <w:tcPr>
            <w:tcW w:w="2469" w:type="dxa"/>
            <w:gridSpan w:val="2"/>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rPr>
                <w:rFonts w:hint="default" w:ascii="Times New Roman" w:hAnsi="Times New Roman" w:cs="Times New Roman"/>
                <w:sz w:val="24"/>
                <w:szCs w:val="24"/>
              </w:rPr>
            </w:pPr>
            <w:r>
              <w:rPr>
                <w:rFonts w:hint="default" w:ascii="Times New Roman" w:hAnsi="Times New Roman" w:eastAsia="方正楷体简体" w:cs="Times New Roman"/>
                <w:color w:val="333333"/>
                <w:sz w:val="18"/>
                <w:szCs w:val="18"/>
              </w:rPr>
              <w:t>（七）总计</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eastAsia="微软雅黑" w:cs="Times New Roman"/>
                <w:sz w:val="24"/>
                <w:szCs w:val="24"/>
                <w:lang w:eastAsia="zh-CN"/>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lang w:val="en-US" w:eastAsia="zh-CN"/>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003" w:type="dxa"/>
            <w:gridSpan w:val="3"/>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color w:val="333333"/>
                <w:sz w:val="18"/>
                <w:szCs w:val="18"/>
              </w:rPr>
              <w:t>四、结转下年度继续办理</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0 </w:t>
            </w:r>
          </w:p>
        </w:tc>
        <w:tc>
          <w:tcPr>
            <w:tcW w:w="45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18"/>
                <w:szCs w:val="18"/>
              </w:rPr>
              <w:t>0 </w:t>
            </w:r>
          </w:p>
        </w:tc>
        <w:tc>
          <w:tcPr>
            <w:tcW w:w="491"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603"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204"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 </w:t>
            </w:r>
            <w:r>
              <w:rPr>
                <w:rFonts w:hint="default" w:ascii="Times New Roman" w:hAnsi="Times New Roman" w:eastAsia="微软雅黑" w:cs="Times New Roman"/>
                <w:color w:val="333333"/>
                <w:sz w:val="18"/>
                <w:szCs w:val="18"/>
              </w:rPr>
              <w:t>0</w:t>
            </w:r>
          </w:p>
        </w:tc>
        <w:tc>
          <w:tcPr>
            <w:tcW w:w="156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1"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微软雅黑" w:cs="Times New Roman"/>
                <w:color w:val="333333"/>
                <w:sz w:val="24"/>
                <w:szCs w:val="24"/>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政府信息公开行政复议、行政诉讼情况</w:t>
      </w:r>
    </w:p>
    <w:p>
      <w:pPr>
        <w:spacing w:line="540" w:lineRule="exact"/>
        <w:ind w:firstLine="640" w:firstLineChars="200"/>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区文旅局无信息公开</w:t>
      </w:r>
      <w:r>
        <w:rPr>
          <w:rFonts w:ascii="Times New Roman" w:hAnsi="Times New Roman" w:eastAsia="方正仿宋_GBK" w:cs="Times New Roman"/>
          <w:sz w:val="32"/>
          <w:szCs w:val="32"/>
        </w:rPr>
        <w:t>行政复议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行政诉讼。</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653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32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审结</w:t>
            </w:r>
          </w:p>
        </w:tc>
        <w:tc>
          <w:tcPr>
            <w:tcW w:w="7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lang w:val="en-US"/>
              </w:rPr>
            </w:pPr>
            <w:r>
              <w:rPr>
                <w:rFonts w:hint="default" w:ascii="Times New Roman" w:hAnsi="Times New Roman" w:eastAsia="黑体" w:cs="Times New Roman"/>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黑体" w:cs="Times New Roman"/>
                <w:kern w:val="0"/>
                <w:sz w:val="20"/>
                <w:szCs w:val="20"/>
                <w:lang w:val="en-US" w:eastAsia="zh-CN" w:bidi="ar"/>
              </w:rPr>
              <w:t>0</w:t>
            </w:r>
          </w:p>
        </w:tc>
        <w:tc>
          <w:tcPr>
            <w:tcW w:w="7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五、存在的主要问题及改进情况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一年来，我局在政务公开的内容和形式上取得了很大的进步，距离上级的要求和群众的期望，仍存在一定的差距。</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（一）存在的问题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一是政策解读形式仍需加强。</w:t>
      </w:r>
      <w:r>
        <w:rPr>
          <w:rFonts w:hint="default" w:ascii="Times New Roman" w:hAnsi="Times New Roman" w:eastAsia="方正仿宋_GBK" w:cs="Times New Roman"/>
          <w:kern w:val="2"/>
          <w:sz w:val="32"/>
          <w:szCs w:val="32"/>
          <w:lang w:val="en-US" w:eastAsia="zh-CN" w:bidi="ar-SA"/>
        </w:rPr>
        <w:t>政策解读仍以文字和图片形式为主，图表图解和音频视频等政策解读类运用较少。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二是政务公开的内容、时限还有待规范和完善。</w:t>
      </w:r>
      <w:r>
        <w:rPr>
          <w:rFonts w:hint="default" w:ascii="Times New Roman" w:hAnsi="Times New Roman" w:eastAsia="方正仿宋_GBK" w:cs="Times New Roman"/>
          <w:kern w:val="2"/>
          <w:sz w:val="32"/>
          <w:szCs w:val="32"/>
          <w:lang w:val="en-US" w:eastAsia="zh-CN" w:bidi="ar-SA"/>
        </w:rPr>
        <w:t>少部分公开的信息公开还存在内容不全面、不具体的问题。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（二）改进措施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一是加强政务公开标准化建设。</w:t>
      </w:r>
      <w:r>
        <w:rPr>
          <w:rFonts w:hint="default" w:ascii="Times New Roman" w:hAnsi="Times New Roman" w:eastAsia="方正仿宋_GBK" w:cs="Times New Roman"/>
          <w:kern w:val="2"/>
          <w:sz w:val="32"/>
          <w:szCs w:val="32"/>
          <w:lang w:val="en-US" w:eastAsia="zh-CN" w:bidi="ar-SA"/>
        </w:rPr>
        <w:t>根据“以公开为常态，不公开为例外”原则，聚焦“扩服务、抓项目、育业态、强产业”等重点工作，健全政务公开制度，完善信息审查机制，加强安全风险防控，持续推进“文旅浦口”微信公众号、视频号、抖音等公开窗口建设，规范公开内容，提高公开质量，扩宽公开渠道。</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二是加强政务公开专业化建设。</w:t>
      </w:r>
      <w:r>
        <w:rPr>
          <w:rFonts w:hint="default" w:ascii="Times New Roman" w:hAnsi="Times New Roman" w:eastAsia="方正仿宋_GBK" w:cs="Times New Roman"/>
          <w:kern w:val="2"/>
          <w:sz w:val="32"/>
          <w:szCs w:val="32"/>
          <w:lang w:val="en-US" w:eastAsia="zh-CN" w:bidi="ar-SA"/>
        </w:rPr>
        <w:t>抓好业务培训，组织工作人员学习政务公开规章制度，切实抓好任务梳理、审核、发布、检查、督促等各环节工作，打造一只“政治素养高、业务能力精、风险意识高”的文旅铁军。坚持问题导向，定期开展自查自纠，对发现的问题剖析根源，提出措施，逐项落实，并通过举一反三确保全局政务公开工作的规范高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三是加强政务公开多元化建设。</w:t>
      </w:r>
      <w:r>
        <w:rPr>
          <w:rFonts w:hint="default" w:ascii="Times New Roman" w:hAnsi="Times New Roman" w:eastAsia="方正仿宋_GBK" w:cs="Times New Roman"/>
          <w:kern w:val="2"/>
          <w:sz w:val="32"/>
          <w:szCs w:val="32"/>
          <w:lang w:val="en-US" w:eastAsia="zh-CN" w:bidi="ar-SA"/>
        </w:rPr>
        <w:t>不断丰富信息公开载体，发挥文化、旅游、广电、体育等领域特色，进一步探索视频、音频、图表、图标等信息发布形式，加强文旅数字化平台运用，提高信息公开查看率，扩大信息公开传播力，提升信息公开引导力。主动自觉接受广大群众监督，倾听群众意见建议，及时精准回应群众关切，提高政务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六、其他需要报告的事项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kern w:val="2"/>
          <w:sz w:val="32"/>
          <w:szCs w:val="32"/>
          <w:lang w:val="en-US" w:eastAsia="zh-CN" w:bidi="ar-SA"/>
        </w:rPr>
        <w:t>2023年，我局无其他需要报告的事项，没有收取信息处理费。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A1410F-C7ED-432C-A795-127EB52595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09178068-2882-4803-BD41-1AE321B1D58D}"/>
  </w:font>
  <w:font w:name="方正黑体_GBK">
    <w:panose1 w:val="03000509000000000000"/>
    <w:charset w:val="86"/>
    <w:family w:val="auto"/>
    <w:pitch w:val="default"/>
    <w:sig w:usb0="00000001" w:usb1="080E0000" w:usb2="00000000" w:usb3="00000000" w:csb0="00040000" w:csb1="00000000"/>
    <w:embedRegular r:id="rId3" w:fontKey="{B6679D27-19ED-40F3-A8CD-C9A2360302EB}"/>
  </w:font>
  <w:font w:name="方正仿宋_GBK">
    <w:panose1 w:val="02000000000000000000"/>
    <w:charset w:val="86"/>
    <w:family w:val="auto"/>
    <w:pitch w:val="default"/>
    <w:sig w:usb0="A00002BF" w:usb1="38CF7CFA" w:usb2="00082016" w:usb3="00000000" w:csb0="00040001" w:csb1="00000000"/>
    <w:embedRegular r:id="rId4" w:fontKey="{F54F1351-291B-4563-8E20-AD9A98BBABC0}"/>
  </w:font>
  <w:font w:name="方正楷体_GBK">
    <w:panose1 w:val="03000509000000000000"/>
    <w:charset w:val="86"/>
    <w:family w:val="auto"/>
    <w:pitch w:val="default"/>
    <w:sig w:usb0="00000001" w:usb1="080E0000" w:usb2="00000000" w:usb3="00000000" w:csb0="00040000" w:csb1="00000000"/>
    <w:embedRegular r:id="rId5" w:fontKey="{6AAD98F7-73A4-4251-A64B-CB0051F5CECF}"/>
  </w:font>
  <w:font w:name="微软雅黑">
    <w:panose1 w:val="020B0503020204020204"/>
    <w:charset w:val="86"/>
    <w:family w:val="auto"/>
    <w:pitch w:val="default"/>
    <w:sig w:usb0="80000287" w:usb1="2ACF3C50" w:usb2="00000016" w:usb3="00000000" w:csb0="0004001F" w:csb1="00000000"/>
    <w:embedRegular r:id="rId6" w:fontKey="{060E134E-5538-4DE3-AB2F-427B8488B6C9}"/>
  </w:font>
  <w:font w:name="方正楷体简体">
    <w:panose1 w:val="02000000000000000000"/>
    <w:charset w:val="86"/>
    <w:family w:val="auto"/>
    <w:pitch w:val="default"/>
    <w:sig w:usb0="A00002BF" w:usb1="184F6CFA" w:usb2="00000012" w:usb3="00000000" w:csb0="00040001" w:csb1="00000000"/>
    <w:embedRegular r:id="rId7" w:fontKey="{A3350116-FA92-416B-8712-D90F1577A733}"/>
  </w:font>
  <w:font w:name="楷体">
    <w:panose1 w:val="02010609060101010101"/>
    <w:charset w:val="86"/>
    <w:family w:val="modern"/>
    <w:pitch w:val="default"/>
    <w:sig w:usb0="800002BF" w:usb1="38CF7CFA" w:usb2="00000016" w:usb3="00000000" w:csb0="00040001" w:csb1="00000000"/>
    <w:embedRegular r:id="rId8" w:fontKey="{B1C34278-F478-4601-88FC-70053099F9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D8A6F"/>
    <w:multiLevelType w:val="singleLevel"/>
    <w:tmpl w:val="133D8A6F"/>
    <w:lvl w:ilvl="0" w:tentative="0">
      <w:start w:val="1"/>
      <w:numFmt w:val="chineseCounting"/>
      <w:suff w:val="nothing"/>
      <w:lvlText w:val="（%1）"/>
      <w:lvlJc w:val="left"/>
      <w:rPr>
        <w:rFonts w:hint="eastAsia"/>
      </w:rPr>
    </w:lvl>
  </w:abstractNum>
  <w:abstractNum w:abstractNumId="1">
    <w:nsid w:val="1D92B76E"/>
    <w:multiLevelType w:val="singleLevel"/>
    <w:tmpl w:val="1D92B76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2VhNGRiMzI1MDAzOWNhOTBmMDE4YTljNDU3MmYifQ=="/>
    <w:docVar w:name="KSO_WPS_MARK_KEY" w:val="7e656969-9045-4b96-adea-70d7d16eeff1"/>
  </w:docVars>
  <w:rsids>
    <w:rsidRoot w:val="00000000"/>
    <w:rsid w:val="00A17D15"/>
    <w:rsid w:val="018129F9"/>
    <w:rsid w:val="02F12EAF"/>
    <w:rsid w:val="03AB4218"/>
    <w:rsid w:val="08D1195E"/>
    <w:rsid w:val="102B6BAF"/>
    <w:rsid w:val="14A375B6"/>
    <w:rsid w:val="16826475"/>
    <w:rsid w:val="17EB545E"/>
    <w:rsid w:val="17EC46CD"/>
    <w:rsid w:val="19D81CBE"/>
    <w:rsid w:val="1BF21B8C"/>
    <w:rsid w:val="1DE31DC0"/>
    <w:rsid w:val="2549425C"/>
    <w:rsid w:val="347B6FB6"/>
    <w:rsid w:val="479F062A"/>
    <w:rsid w:val="481A2675"/>
    <w:rsid w:val="4ADD6EC7"/>
    <w:rsid w:val="4CEA1C17"/>
    <w:rsid w:val="4CF907DC"/>
    <w:rsid w:val="54716559"/>
    <w:rsid w:val="5596306C"/>
    <w:rsid w:val="56E60023"/>
    <w:rsid w:val="59C75EEA"/>
    <w:rsid w:val="601A4DEB"/>
    <w:rsid w:val="64E327D4"/>
    <w:rsid w:val="65CD3DD1"/>
    <w:rsid w:val="6AD64AF1"/>
    <w:rsid w:val="6B9B2675"/>
    <w:rsid w:val="6BD93380"/>
    <w:rsid w:val="72F8342D"/>
    <w:rsid w:val="77366577"/>
    <w:rsid w:val="7BE267CE"/>
    <w:rsid w:val="7E6B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FollowedHyperlink"/>
    <w:basedOn w:val="6"/>
    <w:autoRedefine/>
    <w:qFormat/>
    <w:uiPriority w:val="0"/>
    <w:rPr>
      <w:color w:val="3C3C3C"/>
      <w:u w:val="none"/>
    </w:rPr>
  </w:style>
  <w:style w:type="character" w:styleId="9">
    <w:name w:val="Emphasis"/>
    <w:basedOn w:val="6"/>
    <w:qFormat/>
    <w:uiPriority w:val="0"/>
  </w:style>
  <w:style w:type="character" w:styleId="10">
    <w:name w:val="HTML Definition"/>
    <w:basedOn w:val="6"/>
    <w:autoRedefine/>
    <w:qFormat/>
    <w:uiPriority w:val="0"/>
  </w:style>
  <w:style w:type="character" w:styleId="11">
    <w:name w:val="HTML Variable"/>
    <w:basedOn w:val="6"/>
    <w:qFormat/>
    <w:uiPriority w:val="0"/>
  </w:style>
  <w:style w:type="character" w:styleId="12">
    <w:name w:val="Hyperlink"/>
    <w:basedOn w:val="6"/>
    <w:autoRedefine/>
    <w:qFormat/>
    <w:uiPriority w:val="0"/>
    <w:rPr>
      <w:color w:val="3C3C3C"/>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customStyle="1" w:styleId="15">
    <w:name w:val="last-child"/>
    <w:basedOn w:val="6"/>
    <w:qFormat/>
    <w:uiPriority w:val="0"/>
    <w:rPr>
      <w:color w:val="99999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2219</Words>
  <Characters>2442</Characters>
  <Lines>0</Lines>
  <Paragraphs>0</Paragraphs>
  <TotalTime>7</TotalTime>
  <ScaleCrop>false</ScaleCrop>
  <LinksUpToDate>false</LinksUpToDate>
  <CharactersWithSpaces>2445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2021-01-27T01:43:00Z</dcterms:created>
  <dc:creator>p</dc:creator>
  <cp:lastModifiedBy>wps345678</cp:lastModifiedBy>
  <dcterms:modified xsi:type="dcterms:W3CDTF">2024-01-19T07:36:14Z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575201609_btnclosed</vt:lpwstr>
  </property>
  <property fmtid="{D5CDD505-2E9C-101B-9397-08002B2CF9AE}" pid="4" name="ICV">
    <vt:lpwstr>7E133C3403B9400AA8E4499D849B55AF_13</vt:lpwstr>
  </property>
</Properties>
</file>