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99C" w:rsidRDefault="00E558ED">
      <w:pPr>
        <w:spacing w:line="56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南京市高淳区房产局202</w:t>
      </w:r>
      <w:r w:rsidR="000F38CB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4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年政府信息</w:t>
      </w:r>
    </w:p>
    <w:p w:rsidR="0082099C" w:rsidRDefault="00E558ED">
      <w:pPr>
        <w:spacing w:line="56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公开工作年度报告</w:t>
      </w:r>
    </w:p>
    <w:p w:rsidR="0082099C" w:rsidRDefault="0082099C">
      <w:pPr>
        <w:spacing w:line="560" w:lineRule="exact"/>
        <w:jc w:val="center"/>
        <w:rPr>
          <w:rFonts w:ascii="方正楷体_GBK" w:eastAsia="方正楷体_GBK" w:hAnsi="方正楷体_GBK" w:cs="方正楷体_GBK"/>
          <w:bCs/>
          <w:sz w:val="30"/>
          <w:szCs w:val="30"/>
        </w:rPr>
      </w:pPr>
    </w:p>
    <w:p w:rsidR="0082099C" w:rsidRDefault="00E558ED">
      <w:pPr>
        <w:spacing w:line="560" w:lineRule="exact"/>
        <w:ind w:firstLineChars="200" w:firstLine="640"/>
        <w:rPr>
          <w:rFonts w:ascii="Times New Roman" w:eastAsia="方正仿宋_GBK" w:hAnsi="Times New Roman" w:cs="方正黑体_GBK"/>
          <w:bCs/>
          <w:sz w:val="32"/>
          <w:szCs w:val="32"/>
        </w:rPr>
      </w:pPr>
      <w:r>
        <w:rPr>
          <w:rFonts w:ascii="Times New Roman" w:eastAsia="方正仿宋_GBK" w:hAnsi="Times New Roman" w:cs="方正黑体_GBK" w:hint="eastAsia"/>
          <w:bCs/>
          <w:sz w:val="32"/>
          <w:szCs w:val="32"/>
        </w:rPr>
        <w:t>本年度报告根据《中华人民共和国政府信息公开条例》和省、市、区有关要求，由高淳区住房保障和房产局汇总编制。全文包括总体情况、主动公开政府信息情况、收到和处理政府信息公开申请情况、政府信息公开行政复议和行政诉讼情况、存在的主要问题和改进情况等部分组成。本年度报告中所列数据的统计期限从</w:t>
      </w:r>
      <w:r>
        <w:rPr>
          <w:rFonts w:ascii="Times New Roman" w:eastAsia="方正仿宋_GBK" w:hAnsi="Times New Roman" w:cs="方正黑体_GBK" w:hint="eastAsia"/>
          <w:bCs/>
          <w:sz w:val="32"/>
          <w:szCs w:val="32"/>
        </w:rPr>
        <w:t>202</w:t>
      </w:r>
      <w:r w:rsidR="00EC36C3">
        <w:rPr>
          <w:rFonts w:ascii="Times New Roman" w:eastAsia="方正仿宋_GBK" w:hAnsi="Times New Roman" w:cs="方正黑体_GBK" w:hint="eastAsia"/>
          <w:bCs/>
          <w:sz w:val="32"/>
          <w:szCs w:val="32"/>
        </w:rPr>
        <w:t>4</w:t>
      </w:r>
      <w:r>
        <w:rPr>
          <w:rFonts w:ascii="Times New Roman" w:eastAsia="方正仿宋_GBK" w:hAnsi="Times New Roman" w:cs="方正黑体_GBK" w:hint="eastAsia"/>
          <w:bCs/>
          <w:sz w:val="32"/>
          <w:szCs w:val="32"/>
        </w:rPr>
        <w:t>年</w:t>
      </w:r>
      <w:r>
        <w:rPr>
          <w:rFonts w:ascii="Times New Roman" w:eastAsia="方正仿宋_GBK" w:hAnsi="Times New Roman" w:cs="方正黑体_GBK" w:hint="eastAsia"/>
          <w:bCs/>
          <w:sz w:val="32"/>
          <w:szCs w:val="32"/>
        </w:rPr>
        <w:t>1</w:t>
      </w:r>
      <w:r>
        <w:rPr>
          <w:rFonts w:ascii="Times New Roman" w:eastAsia="方正仿宋_GBK" w:hAnsi="Times New Roman" w:cs="方正黑体_GBK" w:hint="eastAsia"/>
          <w:bCs/>
          <w:sz w:val="32"/>
          <w:szCs w:val="32"/>
        </w:rPr>
        <w:t>月</w:t>
      </w:r>
      <w:r>
        <w:rPr>
          <w:rFonts w:ascii="Times New Roman" w:eastAsia="方正仿宋_GBK" w:hAnsi="Times New Roman" w:cs="方正黑体_GBK" w:hint="eastAsia"/>
          <w:bCs/>
          <w:sz w:val="32"/>
          <w:szCs w:val="32"/>
        </w:rPr>
        <w:t>1</w:t>
      </w:r>
      <w:r>
        <w:rPr>
          <w:rFonts w:ascii="Times New Roman" w:eastAsia="方正仿宋_GBK" w:hAnsi="Times New Roman" w:cs="方正黑体_GBK" w:hint="eastAsia"/>
          <w:bCs/>
          <w:sz w:val="32"/>
          <w:szCs w:val="32"/>
        </w:rPr>
        <w:t>日至</w:t>
      </w:r>
      <w:r>
        <w:rPr>
          <w:rFonts w:ascii="Times New Roman" w:eastAsia="方正仿宋_GBK" w:hAnsi="Times New Roman" w:cs="方正黑体_GBK" w:hint="eastAsia"/>
          <w:bCs/>
          <w:sz w:val="32"/>
          <w:szCs w:val="32"/>
        </w:rPr>
        <w:t>202</w:t>
      </w:r>
      <w:r w:rsidR="00EC36C3">
        <w:rPr>
          <w:rFonts w:ascii="Times New Roman" w:eastAsia="方正仿宋_GBK" w:hAnsi="Times New Roman" w:cs="方正黑体_GBK" w:hint="eastAsia"/>
          <w:bCs/>
          <w:sz w:val="32"/>
          <w:szCs w:val="32"/>
        </w:rPr>
        <w:t>4</w:t>
      </w:r>
      <w:r>
        <w:rPr>
          <w:rFonts w:ascii="Times New Roman" w:eastAsia="方正仿宋_GBK" w:hAnsi="Times New Roman" w:cs="方正黑体_GBK" w:hint="eastAsia"/>
          <w:bCs/>
          <w:sz w:val="32"/>
          <w:szCs w:val="32"/>
        </w:rPr>
        <w:t>年</w:t>
      </w:r>
      <w:r>
        <w:rPr>
          <w:rFonts w:ascii="Times New Roman" w:eastAsia="方正仿宋_GBK" w:hAnsi="Times New Roman" w:cs="方正黑体_GBK" w:hint="eastAsia"/>
          <w:bCs/>
          <w:sz w:val="32"/>
          <w:szCs w:val="32"/>
        </w:rPr>
        <w:t>12</w:t>
      </w:r>
      <w:r>
        <w:rPr>
          <w:rFonts w:ascii="Times New Roman" w:eastAsia="方正仿宋_GBK" w:hAnsi="Times New Roman" w:cs="方正黑体_GBK" w:hint="eastAsia"/>
          <w:bCs/>
          <w:sz w:val="32"/>
          <w:szCs w:val="32"/>
        </w:rPr>
        <w:t>月</w:t>
      </w:r>
      <w:r>
        <w:rPr>
          <w:rFonts w:ascii="Times New Roman" w:eastAsia="方正仿宋_GBK" w:hAnsi="Times New Roman" w:cs="方正黑体_GBK" w:hint="eastAsia"/>
          <w:bCs/>
          <w:sz w:val="32"/>
          <w:szCs w:val="32"/>
        </w:rPr>
        <w:t>31</w:t>
      </w:r>
      <w:r>
        <w:rPr>
          <w:rFonts w:ascii="Times New Roman" w:eastAsia="方正仿宋_GBK" w:hAnsi="Times New Roman" w:cs="方正黑体_GBK" w:hint="eastAsia"/>
          <w:bCs/>
          <w:sz w:val="32"/>
          <w:szCs w:val="32"/>
        </w:rPr>
        <w:t>日止。</w:t>
      </w:r>
    </w:p>
    <w:p w:rsidR="0082099C" w:rsidRDefault="00E558ED">
      <w:pPr>
        <w:spacing w:line="560" w:lineRule="exact"/>
        <w:ind w:firstLineChars="200" w:firstLine="640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一、总体情况</w:t>
      </w:r>
    </w:p>
    <w:p w:rsidR="0082099C" w:rsidRPr="00774BDF" w:rsidRDefault="001665D4" w:rsidP="00203255">
      <w:pPr>
        <w:pStyle w:val="111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E558ED" w:rsidRPr="00774BDF">
        <w:rPr>
          <w:rFonts w:hint="eastAsia"/>
        </w:rPr>
        <w:t>主动公开方面：</w:t>
      </w:r>
      <w:r w:rsidR="00E558ED" w:rsidRPr="00774BDF">
        <w:t>202</w:t>
      </w:r>
      <w:r w:rsidR="00774BDF">
        <w:rPr>
          <w:rFonts w:hint="eastAsia"/>
        </w:rPr>
        <w:t>4</w:t>
      </w:r>
      <w:r w:rsidR="00E558ED" w:rsidRPr="00774BDF">
        <w:t>年，我局通过</w:t>
      </w:r>
      <w:r w:rsidR="00951B2E" w:rsidRPr="00774BDF">
        <w:rPr>
          <w:rFonts w:hint="eastAsia"/>
        </w:rPr>
        <w:t>“</w:t>
      </w:r>
      <w:r w:rsidR="00E558ED" w:rsidRPr="00774BDF">
        <w:t>高淳区人民政府门户网站</w:t>
      </w:r>
      <w:r w:rsidR="00951B2E" w:rsidRPr="00774BDF">
        <w:rPr>
          <w:rFonts w:hint="eastAsia"/>
        </w:rPr>
        <w:t>”</w:t>
      </w:r>
      <w:r w:rsidR="00E558ED" w:rsidRPr="00774BDF">
        <w:t>发布信息</w:t>
      </w:r>
      <w:r w:rsidR="00E558ED" w:rsidRPr="00774BDF">
        <w:rPr>
          <w:rFonts w:hint="eastAsia"/>
        </w:rPr>
        <w:t>2</w:t>
      </w:r>
      <w:r w:rsidR="00644EF5" w:rsidRPr="00774BDF">
        <w:rPr>
          <w:rFonts w:hint="eastAsia"/>
        </w:rPr>
        <w:t>1</w:t>
      </w:r>
      <w:r w:rsidR="00E558ED" w:rsidRPr="00774BDF">
        <w:t>条，其中主动公开各类政府信息</w:t>
      </w:r>
      <w:r w:rsidR="00E558ED" w:rsidRPr="00774BDF">
        <w:rPr>
          <w:rFonts w:hint="eastAsia"/>
        </w:rPr>
        <w:t>2</w:t>
      </w:r>
      <w:r w:rsidR="00644EF5" w:rsidRPr="00774BDF">
        <w:rPr>
          <w:rFonts w:hint="eastAsia"/>
        </w:rPr>
        <w:t>1</w:t>
      </w:r>
      <w:r w:rsidR="00E558ED" w:rsidRPr="00774BDF">
        <w:t>条，公开政府信息包括</w:t>
      </w:r>
      <w:r w:rsidR="00E558ED" w:rsidRPr="00774BDF">
        <w:rPr>
          <w:rFonts w:hint="eastAsia"/>
        </w:rPr>
        <w:t>政策解读</w:t>
      </w:r>
      <w:r w:rsidR="00E558ED" w:rsidRPr="00774BDF">
        <w:t>、部门文件、公示公告、财政预算、住房保障等方面。</w:t>
      </w:r>
      <w:r w:rsidR="00400984" w:rsidRPr="00400984">
        <w:rPr>
          <w:rFonts w:hint="eastAsia"/>
        </w:rPr>
        <w:t>严格按照《</w:t>
      </w:r>
      <w:r w:rsidR="00400984" w:rsidRPr="000C1165">
        <w:t>中华人民共和国政府信息公开条例</w:t>
      </w:r>
      <w:r w:rsidR="00400984" w:rsidRPr="00400984">
        <w:rPr>
          <w:rFonts w:hint="eastAsia"/>
        </w:rPr>
        <w:t>》要求，加大政府信息主动公开力度，做到“应公开尽公开”</w:t>
      </w:r>
      <w:r w:rsidR="00400984">
        <w:rPr>
          <w:rFonts w:hint="eastAsia"/>
        </w:rPr>
        <w:t>。</w:t>
      </w:r>
    </w:p>
    <w:p w:rsidR="0082099C" w:rsidRPr="00A748D3" w:rsidRDefault="001665D4" w:rsidP="00203255">
      <w:pPr>
        <w:pStyle w:val="111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E558ED" w:rsidRPr="000C1165">
        <w:rPr>
          <w:rFonts w:hint="eastAsia"/>
        </w:rPr>
        <w:t>依申请公开信息方面：</w:t>
      </w:r>
      <w:r w:rsidR="00E558ED" w:rsidRPr="000C1165">
        <w:t>我局在高淳区人民政府门户网站公布政府信息申请公开方式方法，以</w:t>
      </w:r>
      <w:r w:rsidR="00E558ED" w:rsidRPr="000C1165">
        <w:rPr>
          <w:rFonts w:hint="eastAsia"/>
        </w:rPr>
        <w:t>“</w:t>
      </w:r>
      <w:r w:rsidR="00E558ED" w:rsidRPr="000C1165">
        <w:t>政府网站申请</w:t>
      </w:r>
      <w:r w:rsidR="00E558ED" w:rsidRPr="000C1165">
        <w:rPr>
          <w:rFonts w:hint="eastAsia"/>
        </w:rPr>
        <w:t>”“</w:t>
      </w:r>
      <w:r w:rsidR="00E558ED" w:rsidRPr="000C1165">
        <w:t>邮寄申请</w:t>
      </w:r>
      <w:r w:rsidR="00E558ED" w:rsidRPr="000C1165">
        <w:rPr>
          <w:rFonts w:hint="eastAsia"/>
        </w:rPr>
        <w:t>”</w:t>
      </w:r>
      <w:r w:rsidR="00E558ED" w:rsidRPr="000C1165">
        <w:t>和</w:t>
      </w:r>
      <w:r w:rsidR="00E558ED" w:rsidRPr="000C1165">
        <w:rPr>
          <w:rFonts w:hint="eastAsia"/>
        </w:rPr>
        <w:t>“</w:t>
      </w:r>
      <w:r w:rsidR="00E558ED" w:rsidRPr="000C1165">
        <w:t>当面提交</w:t>
      </w:r>
      <w:r w:rsidR="00E558ED" w:rsidRPr="000C1165">
        <w:rPr>
          <w:rFonts w:hint="eastAsia"/>
        </w:rPr>
        <w:t>”</w:t>
      </w:r>
      <w:r w:rsidR="00E558ED" w:rsidRPr="000C1165">
        <w:t>为主要申请渠道，全年共收到政府信息申</w:t>
      </w:r>
      <w:r w:rsidR="00E558ED" w:rsidRPr="005D4D65">
        <w:t>请</w:t>
      </w:r>
      <w:r w:rsidR="000C1165" w:rsidRPr="005D4D65">
        <w:rPr>
          <w:rFonts w:hint="eastAsia"/>
        </w:rPr>
        <w:t>12</w:t>
      </w:r>
      <w:r w:rsidR="00E558ED" w:rsidRPr="005D4D65">
        <w:t>件，已答复</w:t>
      </w:r>
      <w:r w:rsidR="000C1165" w:rsidRPr="005D4D65">
        <w:rPr>
          <w:rFonts w:hint="eastAsia"/>
        </w:rPr>
        <w:t>12</w:t>
      </w:r>
      <w:r w:rsidR="00E558ED" w:rsidRPr="005D4D65">
        <w:t>件，其中</w:t>
      </w:r>
      <w:r w:rsidR="006F0D1D" w:rsidRPr="005D4D65">
        <w:rPr>
          <w:rFonts w:hint="eastAsia"/>
        </w:rPr>
        <w:t>“</w:t>
      </w:r>
      <w:r w:rsidR="00E558ED" w:rsidRPr="005D4D65">
        <w:t>予以公开</w:t>
      </w:r>
      <w:r w:rsidR="006F0D1D" w:rsidRPr="005D4D65">
        <w:rPr>
          <w:rFonts w:hint="eastAsia"/>
        </w:rPr>
        <w:t>”</w:t>
      </w:r>
      <w:r w:rsidR="00A13EE8" w:rsidRPr="005D4D65">
        <w:rPr>
          <w:rFonts w:hint="eastAsia"/>
        </w:rPr>
        <w:t>4</w:t>
      </w:r>
      <w:r w:rsidR="00E558ED" w:rsidRPr="005D4D65">
        <w:t>件，</w:t>
      </w:r>
      <w:r w:rsidR="006F0D1D" w:rsidRPr="005D4D65">
        <w:rPr>
          <w:rFonts w:hint="eastAsia"/>
        </w:rPr>
        <w:t>“</w:t>
      </w:r>
      <w:r w:rsidR="00E558ED" w:rsidRPr="005D4D65">
        <w:t>部分公开</w:t>
      </w:r>
      <w:r w:rsidR="006F0D1D" w:rsidRPr="005D4D65">
        <w:rPr>
          <w:rFonts w:hint="eastAsia"/>
        </w:rPr>
        <w:t>”</w:t>
      </w:r>
      <w:r w:rsidR="006F0D1D" w:rsidRPr="005D4D65">
        <w:rPr>
          <w:rFonts w:hint="eastAsia"/>
        </w:rPr>
        <w:t>1</w:t>
      </w:r>
      <w:r w:rsidR="00E558ED" w:rsidRPr="005D4D65">
        <w:t>件，</w:t>
      </w:r>
      <w:r w:rsidR="006F0D1D" w:rsidRPr="005D4D65">
        <w:rPr>
          <w:rFonts w:hint="eastAsia"/>
        </w:rPr>
        <w:t>“</w:t>
      </w:r>
      <w:r w:rsidR="00E558ED" w:rsidRPr="005D4D65">
        <w:t>无法提供（</w:t>
      </w:r>
      <w:r w:rsidR="006F0D1D" w:rsidRPr="005D4D65">
        <w:t>非本机关职权范围</w:t>
      </w:r>
      <w:r w:rsidR="00E558ED" w:rsidRPr="005D4D65">
        <w:t>）</w:t>
      </w:r>
      <w:r w:rsidR="006F0D1D" w:rsidRPr="005D4D65">
        <w:rPr>
          <w:rFonts w:hint="eastAsia"/>
        </w:rPr>
        <w:t>”</w:t>
      </w:r>
      <w:r w:rsidR="006F0D1D" w:rsidRPr="005D4D65">
        <w:rPr>
          <w:rFonts w:hint="eastAsia"/>
        </w:rPr>
        <w:t>6</w:t>
      </w:r>
      <w:r w:rsidR="00E558ED" w:rsidRPr="005D4D65">
        <w:t>件，</w:t>
      </w:r>
      <w:r w:rsidR="006F0D1D" w:rsidRPr="005D4D65">
        <w:rPr>
          <w:rFonts w:hint="eastAsia"/>
        </w:rPr>
        <w:t>“</w:t>
      </w:r>
      <w:r w:rsidR="00E558ED" w:rsidRPr="005D4D65">
        <w:t>信访举报投诉类申请</w:t>
      </w:r>
      <w:r w:rsidR="006F0D1D" w:rsidRPr="005D4D65">
        <w:rPr>
          <w:rFonts w:hint="eastAsia"/>
        </w:rPr>
        <w:t>”</w:t>
      </w:r>
      <w:r w:rsidR="00E558ED" w:rsidRPr="005D4D65">
        <w:t>0</w:t>
      </w:r>
      <w:r w:rsidR="00E558ED" w:rsidRPr="005D4D65">
        <w:t>件</w:t>
      </w:r>
      <w:r w:rsidR="00033275" w:rsidRPr="005D4D65">
        <w:rPr>
          <w:rFonts w:hint="eastAsia"/>
        </w:rPr>
        <w:t>，</w:t>
      </w:r>
      <w:r w:rsidR="000C1165" w:rsidRPr="005D4D65">
        <w:rPr>
          <w:rFonts w:hint="eastAsia"/>
        </w:rPr>
        <w:t>“</w:t>
      </w:r>
      <w:r w:rsidR="00E558ED" w:rsidRPr="005D4D65">
        <w:t>其他处理（网民撤销</w:t>
      </w:r>
      <w:r w:rsidR="000C1165" w:rsidRPr="005D4D65">
        <w:t>申请</w:t>
      </w:r>
      <w:r w:rsidR="00E558ED" w:rsidRPr="005D4D65">
        <w:t>）</w:t>
      </w:r>
      <w:r w:rsidR="000C1165" w:rsidRPr="005D4D65">
        <w:rPr>
          <w:rFonts w:hint="eastAsia"/>
        </w:rPr>
        <w:t>”</w:t>
      </w:r>
      <w:r w:rsidR="00E558ED" w:rsidRPr="005D4D65">
        <w:rPr>
          <w:rFonts w:hint="eastAsia"/>
        </w:rPr>
        <w:t>1</w:t>
      </w:r>
      <w:r w:rsidR="00E558ED" w:rsidRPr="005D4D65">
        <w:t>件</w:t>
      </w:r>
      <w:r w:rsidR="00A13EE8" w:rsidRPr="005D4D65">
        <w:rPr>
          <w:rFonts w:hint="eastAsia"/>
        </w:rPr>
        <w:t>。</w:t>
      </w:r>
      <w:r w:rsidR="00E558ED" w:rsidRPr="005D4D65">
        <w:t>所</w:t>
      </w:r>
      <w:r w:rsidR="00E558ED" w:rsidRPr="00A748D3">
        <w:t>有政府信息公开申请均严格按照新条例规定在</w:t>
      </w:r>
      <w:r w:rsidR="00E558ED" w:rsidRPr="00A748D3">
        <w:t>20</w:t>
      </w:r>
      <w:r w:rsidR="00E558ED" w:rsidRPr="00A748D3">
        <w:t>个工作日内进行答复，</w:t>
      </w:r>
      <w:r w:rsidR="00E558ED" w:rsidRPr="00A748D3">
        <w:t>0</w:t>
      </w:r>
      <w:r w:rsidR="00E558ED" w:rsidRPr="00A748D3">
        <w:t>个延期答复案件，无结转下年度继续办理案件。政府信息公开工作收到行政复议、诉讼共</w:t>
      </w:r>
      <w:r w:rsidR="00E558ED" w:rsidRPr="00A748D3">
        <w:t>0</w:t>
      </w:r>
      <w:r w:rsidR="00E558ED" w:rsidRPr="00A748D3">
        <w:t>件。</w:t>
      </w:r>
    </w:p>
    <w:p w:rsidR="0082099C" w:rsidRDefault="00A07375" w:rsidP="00203255">
      <w:pPr>
        <w:pStyle w:val="111"/>
      </w:pPr>
      <w:r w:rsidRPr="00203255">
        <w:rPr>
          <w:rFonts w:hint="eastAsia"/>
        </w:rPr>
        <w:lastRenderedPageBreak/>
        <w:t>（</w:t>
      </w:r>
      <w:r w:rsidRPr="00203255">
        <w:rPr>
          <w:rFonts w:hint="eastAsia"/>
        </w:rPr>
        <w:t>3</w:t>
      </w:r>
      <w:r w:rsidRPr="00203255">
        <w:rPr>
          <w:rFonts w:hint="eastAsia"/>
        </w:rPr>
        <w:t>）</w:t>
      </w:r>
      <w:r w:rsidR="00E558ED" w:rsidRPr="00203255">
        <w:t>政府信息管理方面：</w:t>
      </w:r>
      <w:r w:rsidR="00203255" w:rsidRPr="00203255">
        <w:rPr>
          <w:rFonts w:hint="eastAsia"/>
        </w:rPr>
        <w:t>安排专人具体负责政府信息公开各项工作，按照“谁制发、谁提出，谁审查、谁办理，谁公开、谁负责”原则，对所公开事项内容进行审核、把关，确保公开内容合法性、准确性、严肃性。</w:t>
      </w:r>
      <w:r w:rsidR="00AF5F6E" w:rsidRPr="00203255">
        <w:t>及时更新公开栏目内容，保证更新频率。</w:t>
      </w:r>
    </w:p>
    <w:p w:rsidR="00F80153" w:rsidRPr="00203255" w:rsidRDefault="00F80153" w:rsidP="00203255">
      <w:pPr>
        <w:pStyle w:val="111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）平台建设：</w:t>
      </w:r>
      <w:r w:rsidR="00834CA5" w:rsidRPr="00834CA5">
        <w:rPr>
          <w:rFonts w:hint="eastAsia"/>
        </w:rPr>
        <w:t>采用长期公开、定期公开、不定期公开相结合等方式</w:t>
      </w:r>
      <w:r w:rsidR="00617DC0">
        <w:rPr>
          <w:rFonts w:hint="eastAsia"/>
        </w:rPr>
        <w:t>在区政府门户网站</w:t>
      </w:r>
      <w:r w:rsidR="00834CA5" w:rsidRPr="00834CA5">
        <w:rPr>
          <w:rFonts w:hint="eastAsia"/>
        </w:rPr>
        <w:t>及时更新</w:t>
      </w:r>
      <w:r w:rsidR="00A63B24">
        <w:rPr>
          <w:rFonts w:hint="eastAsia"/>
        </w:rPr>
        <w:t>我局</w:t>
      </w:r>
      <w:r w:rsidR="003C4808">
        <w:rPr>
          <w:rFonts w:hint="eastAsia"/>
        </w:rPr>
        <w:t>各项</w:t>
      </w:r>
      <w:r w:rsidR="00A63B24">
        <w:rPr>
          <w:rFonts w:hint="eastAsia"/>
        </w:rPr>
        <w:t>工作动态</w:t>
      </w:r>
      <w:r w:rsidR="00FA7CCE">
        <w:rPr>
          <w:rFonts w:hint="eastAsia"/>
        </w:rPr>
        <w:t>，现有保障性住房项目信息、廉租房租赁补贴、保障房房源信息、棚户区改造等住房信息组配分类</w:t>
      </w:r>
      <w:r w:rsidR="00834CA5" w:rsidRPr="00834CA5">
        <w:rPr>
          <w:rFonts w:hint="eastAsia"/>
        </w:rPr>
        <w:t>。</w:t>
      </w:r>
    </w:p>
    <w:p w:rsidR="000F38CB" w:rsidRPr="00910B7E" w:rsidRDefault="003B15D0" w:rsidP="00203255">
      <w:pPr>
        <w:pStyle w:val="111"/>
      </w:pPr>
      <w:r w:rsidRPr="00600BF3">
        <w:rPr>
          <w:rFonts w:hint="eastAsia"/>
        </w:rPr>
        <w:t>（</w:t>
      </w:r>
      <w:r w:rsidRPr="00600BF3">
        <w:rPr>
          <w:rFonts w:hint="eastAsia"/>
        </w:rPr>
        <w:t>5</w:t>
      </w:r>
      <w:r w:rsidRPr="00600BF3">
        <w:rPr>
          <w:rFonts w:hint="eastAsia"/>
        </w:rPr>
        <w:t>）</w:t>
      </w:r>
      <w:r w:rsidR="00E558ED" w:rsidRPr="00600BF3">
        <w:t>监督保障方面：</w:t>
      </w:r>
      <w:r w:rsidR="00617DC0" w:rsidRPr="00600BF3">
        <w:rPr>
          <w:rFonts w:hint="eastAsia"/>
        </w:rPr>
        <w:t>严格按照省、市、区有关政府信息公开的文件精神和工作部署，</w:t>
      </w:r>
      <w:r w:rsidR="00DC7903" w:rsidRPr="00600BF3">
        <w:rPr>
          <w:rFonts w:hint="eastAsia"/>
        </w:rPr>
        <w:t>规范信息</w:t>
      </w:r>
      <w:r w:rsidR="00F05815" w:rsidRPr="00600BF3">
        <w:rPr>
          <w:rFonts w:hint="eastAsia"/>
        </w:rPr>
        <w:t>发布</w:t>
      </w:r>
      <w:r w:rsidR="00DC7903" w:rsidRPr="00600BF3">
        <w:rPr>
          <w:rFonts w:hint="eastAsia"/>
        </w:rPr>
        <w:t>审核工作，确保信息公开及时、规范、安全，把好质量审核关。对上级反馈的政务公开问题进行研究分析，按</w:t>
      </w:r>
      <w:r w:rsidR="00DC7903" w:rsidRPr="00DC7903">
        <w:rPr>
          <w:rFonts w:hint="eastAsia"/>
        </w:rPr>
        <w:t>时完成整改，并及时总结经验，不断提高信息公开质量。</w:t>
      </w:r>
    </w:p>
    <w:p w:rsidR="0082099C" w:rsidRDefault="00E558ED">
      <w:pPr>
        <w:spacing w:line="560" w:lineRule="exact"/>
        <w:ind w:firstLineChars="200" w:firstLine="640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二、主动公开政府信息情况</w:t>
      </w:r>
    </w:p>
    <w:tbl>
      <w:tblPr>
        <w:tblW w:w="8140" w:type="dxa"/>
        <w:jc w:val="center"/>
        <w:tblLayout w:type="fixed"/>
        <w:tblLook w:val="04A0"/>
      </w:tblPr>
      <w:tblGrid>
        <w:gridCol w:w="3113"/>
        <w:gridCol w:w="1659"/>
        <w:gridCol w:w="1487"/>
        <w:gridCol w:w="1881"/>
      </w:tblGrid>
      <w:tr w:rsidR="0082099C">
        <w:trPr>
          <w:trHeight w:val="495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82099C" w:rsidRDefault="00E558ED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82099C">
        <w:trPr>
          <w:trHeight w:val="672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099C" w:rsidRDefault="00E558ED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099C" w:rsidRDefault="00E558ED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099C" w:rsidRDefault="00E558ED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:rsidR="0082099C">
        <w:trPr>
          <w:trHeight w:val="538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099C" w:rsidRDefault="00E558ED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099C" w:rsidRDefault="00E558ED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099C" w:rsidRDefault="00E558ED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82099C">
        <w:trPr>
          <w:trHeight w:val="471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099C" w:rsidRDefault="00E558ED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099C" w:rsidRDefault="00E558ED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099C" w:rsidRDefault="00E558ED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82099C">
        <w:trPr>
          <w:trHeight w:val="480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82099C" w:rsidRDefault="00E558ED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82099C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099C" w:rsidRDefault="00E558ED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099C" w:rsidRDefault="00E558ED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82099C">
        <w:trPr>
          <w:trHeight w:val="528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099C" w:rsidRDefault="00E558ED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099C" w:rsidRDefault="00E558ED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82099C">
        <w:trPr>
          <w:trHeight w:val="406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82099C" w:rsidRDefault="00E558ED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82099C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099C" w:rsidRDefault="00E558ED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099C" w:rsidRDefault="00E558ED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82099C">
        <w:trPr>
          <w:trHeight w:val="430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099C" w:rsidRDefault="00E558ED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行政处罚</w:t>
            </w:r>
          </w:p>
        </w:tc>
        <w:tc>
          <w:tcPr>
            <w:tcW w:w="5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099C" w:rsidRDefault="00E558ED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82099C">
        <w:trPr>
          <w:trHeight w:val="409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099C" w:rsidRDefault="00E558ED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099C" w:rsidRDefault="00E558ED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82099C">
        <w:trPr>
          <w:trHeight w:val="474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82099C" w:rsidRDefault="00E558ED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82099C">
        <w:trPr>
          <w:trHeight w:val="270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099C" w:rsidRDefault="00E558ED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2099C" w:rsidRDefault="00E558ED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:rsidR="0082099C">
        <w:trPr>
          <w:trHeight w:val="551"/>
          <w:jc w:val="center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099C" w:rsidRDefault="00E558ED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099C" w:rsidRDefault="00E558ED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:rsidR="0082099C" w:rsidRDefault="0082099C" w:rsidP="00765D6B">
      <w:pPr>
        <w:spacing w:line="440" w:lineRule="exact"/>
        <w:rPr>
          <w:rFonts w:ascii="方正黑体_GBK" w:eastAsia="方正黑体_GBK" w:hAnsi="方正黑体_GBK" w:cs="方正黑体_GBK"/>
          <w:bCs/>
          <w:sz w:val="32"/>
          <w:szCs w:val="32"/>
        </w:rPr>
      </w:pPr>
    </w:p>
    <w:p w:rsidR="0082099C" w:rsidRDefault="00E558ED" w:rsidP="00765D6B">
      <w:pPr>
        <w:spacing w:line="440" w:lineRule="exact"/>
        <w:ind w:firstLineChars="200" w:firstLine="640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三、收到和处理政府信息公开申请情况</w:t>
      </w:r>
    </w:p>
    <w:tbl>
      <w:tblPr>
        <w:tblW w:w="9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854"/>
        <w:gridCol w:w="2803"/>
        <w:gridCol w:w="660"/>
        <w:gridCol w:w="735"/>
        <w:gridCol w:w="690"/>
        <w:gridCol w:w="735"/>
        <w:gridCol w:w="765"/>
        <w:gridCol w:w="750"/>
        <w:gridCol w:w="664"/>
      </w:tblGrid>
      <w:tr w:rsidR="0082099C">
        <w:trPr>
          <w:jc w:val="center"/>
        </w:trPr>
        <w:tc>
          <w:tcPr>
            <w:tcW w:w="42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9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申请人情况</w:t>
            </w:r>
          </w:p>
        </w:tc>
      </w:tr>
      <w:tr w:rsidR="0082099C">
        <w:trPr>
          <w:trHeight w:val="605"/>
          <w:jc w:val="center"/>
        </w:trPr>
        <w:tc>
          <w:tcPr>
            <w:tcW w:w="42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82099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自然人</w:t>
            </w:r>
          </w:p>
        </w:tc>
        <w:tc>
          <w:tcPr>
            <w:tcW w:w="3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法人或其他组织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总计</w:t>
            </w:r>
          </w:p>
        </w:tc>
      </w:tr>
      <w:tr w:rsidR="0082099C">
        <w:trPr>
          <w:trHeight w:val="876"/>
          <w:jc w:val="center"/>
        </w:trPr>
        <w:tc>
          <w:tcPr>
            <w:tcW w:w="42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82099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82099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商业企业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科研机构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社会公益组织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法律服务机构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其他</w:t>
            </w:r>
          </w:p>
        </w:tc>
        <w:tc>
          <w:tcPr>
            <w:tcW w:w="6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82099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2099C">
        <w:trPr>
          <w:jc w:val="center"/>
        </w:trPr>
        <w:tc>
          <w:tcPr>
            <w:tcW w:w="4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spacing w:line="300" w:lineRule="exact"/>
              <w:jc w:val="center"/>
              <w:rPr>
                <w:rFonts w:asciiTheme="minorEastAsia" w:hAnsiTheme="minorEastAsia" w:cstheme="minorEastAsia"/>
                <w:color w:val="333333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816951" w:rsidRDefault="00816951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16951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816951" w:rsidRDefault="00E558E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16951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816951" w:rsidRDefault="00E558E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16951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816951" w:rsidRDefault="00E558E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16951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816951" w:rsidRDefault="00E558E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16951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816951" w:rsidRDefault="00E558E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16951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816951" w:rsidRDefault="00816951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16951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12</w:t>
            </w:r>
          </w:p>
        </w:tc>
      </w:tr>
      <w:tr w:rsidR="0082099C">
        <w:trPr>
          <w:jc w:val="center"/>
        </w:trPr>
        <w:tc>
          <w:tcPr>
            <w:tcW w:w="4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spacing w:line="300" w:lineRule="exact"/>
              <w:jc w:val="center"/>
              <w:rPr>
                <w:rFonts w:asciiTheme="minorEastAsia" w:hAnsiTheme="minorEastAsia" w:cstheme="minorEastAsia"/>
                <w:color w:val="333333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816951" w:rsidRDefault="00E558E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16951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816951" w:rsidRDefault="00E558E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16951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816951" w:rsidRDefault="00E558E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16951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816951" w:rsidRDefault="00E558E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16951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816951" w:rsidRDefault="00E558E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16951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816951" w:rsidRDefault="00E558E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16951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816951" w:rsidRDefault="00E558E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16951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</w:tr>
      <w:tr w:rsidR="0082099C"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spacing w:line="300" w:lineRule="exact"/>
              <w:jc w:val="center"/>
              <w:rPr>
                <w:rFonts w:asciiTheme="minorEastAsia" w:hAnsiTheme="minorEastAsia" w:cstheme="minorEastAsia"/>
                <w:color w:val="333333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z w:val="20"/>
                <w:szCs w:val="20"/>
              </w:rPr>
              <w:t>三、本年度办理结果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spacing w:line="300" w:lineRule="exact"/>
              <w:rPr>
                <w:rFonts w:asciiTheme="minorEastAsia" w:hAnsiTheme="minorEastAsia" w:cstheme="minorEastAsia"/>
                <w:color w:val="333333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z w:val="20"/>
                <w:szCs w:val="20"/>
              </w:rPr>
              <w:t>（一）予以公开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816951" w:rsidRDefault="00816951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16951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816951" w:rsidRDefault="00E558E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16951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816951" w:rsidRDefault="00E558E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16951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816951" w:rsidRDefault="00E558E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16951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816951" w:rsidRDefault="00E558E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16951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816951" w:rsidRDefault="00E558E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16951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816951" w:rsidRDefault="00816951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16951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4</w:t>
            </w:r>
          </w:p>
        </w:tc>
      </w:tr>
      <w:tr w:rsidR="0082099C">
        <w:trPr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99C" w:rsidRDefault="0082099C">
            <w:pPr>
              <w:widowControl/>
              <w:spacing w:line="300" w:lineRule="exact"/>
              <w:jc w:val="left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spacing w:line="300" w:lineRule="exact"/>
              <w:rPr>
                <w:rFonts w:asciiTheme="minorEastAsia" w:hAnsiTheme="minorEastAsia" w:cstheme="minorEastAsia"/>
                <w:color w:val="333333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FB6D2A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FB6D2A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</w:t>
            </w:r>
          </w:p>
        </w:tc>
      </w:tr>
      <w:tr w:rsidR="0082099C">
        <w:trPr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99C" w:rsidRDefault="0082099C">
            <w:pPr>
              <w:widowControl/>
              <w:spacing w:line="300" w:lineRule="exact"/>
              <w:jc w:val="left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spacing w:line="300" w:lineRule="exact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z w:val="20"/>
                <w:szCs w:val="20"/>
              </w:rPr>
              <w:t>（三）不予公开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spacing w:line="300" w:lineRule="exact"/>
              <w:rPr>
                <w:rFonts w:asciiTheme="minorEastAsia" w:hAnsiTheme="minorEastAsia" w:cstheme="minorEastAsia"/>
                <w:color w:val="333333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z w:val="20"/>
                <w:szCs w:val="20"/>
              </w:rPr>
              <w:t>1.属于国家秘密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</w:tr>
      <w:tr w:rsidR="0082099C">
        <w:trPr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99C" w:rsidRDefault="0082099C">
            <w:pPr>
              <w:widowControl/>
              <w:spacing w:line="300" w:lineRule="exact"/>
              <w:jc w:val="left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82099C">
            <w:pPr>
              <w:widowControl/>
              <w:spacing w:line="300" w:lineRule="exact"/>
              <w:jc w:val="left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spacing w:line="300" w:lineRule="exact"/>
              <w:rPr>
                <w:rFonts w:asciiTheme="minorEastAsia" w:hAnsiTheme="minorEastAsia" w:cstheme="minorEastAsia"/>
                <w:color w:val="333333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z w:val="20"/>
                <w:szCs w:val="20"/>
              </w:rPr>
              <w:t>2.其他法律行政法规禁止公开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</w:tr>
      <w:tr w:rsidR="0082099C">
        <w:trPr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99C" w:rsidRDefault="0082099C">
            <w:pPr>
              <w:widowControl/>
              <w:spacing w:line="300" w:lineRule="exact"/>
              <w:jc w:val="left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82099C">
            <w:pPr>
              <w:widowControl/>
              <w:spacing w:line="300" w:lineRule="exact"/>
              <w:jc w:val="left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spacing w:line="300" w:lineRule="exact"/>
              <w:rPr>
                <w:rFonts w:asciiTheme="minorEastAsia" w:hAnsiTheme="minorEastAsia" w:cstheme="minorEastAsia"/>
                <w:color w:val="333333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z w:val="20"/>
                <w:szCs w:val="20"/>
              </w:rPr>
              <w:t>3.危及“三安全一稳定”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</w:tr>
      <w:tr w:rsidR="0082099C">
        <w:trPr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99C" w:rsidRDefault="0082099C">
            <w:pPr>
              <w:widowControl/>
              <w:spacing w:line="300" w:lineRule="exact"/>
              <w:jc w:val="left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82099C">
            <w:pPr>
              <w:widowControl/>
              <w:spacing w:line="300" w:lineRule="exact"/>
              <w:jc w:val="left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spacing w:line="300" w:lineRule="exact"/>
              <w:rPr>
                <w:rFonts w:asciiTheme="minorEastAsia" w:hAnsiTheme="minorEastAsia" w:cstheme="minorEastAsia"/>
                <w:color w:val="333333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z w:val="20"/>
                <w:szCs w:val="20"/>
              </w:rPr>
              <w:t>4.保护第三方合法权益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</w:tr>
      <w:tr w:rsidR="0082099C">
        <w:trPr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99C" w:rsidRDefault="0082099C">
            <w:pPr>
              <w:widowControl/>
              <w:spacing w:line="300" w:lineRule="exact"/>
              <w:jc w:val="left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82099C">
            <w:pPr>
              <w:widowControl/>
              <w:spacing w:line="300" w:lineRule="exact"/>
              <w:jc w:val="left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spacing w:line="300" w:lineRule="exact"/>
              <w:rPr>
                <w:rFonts w:asciiTheme="minorEastAsia" w:hAnsiTheme="minorEastAsia" w:cstheme="minorEastAsia"/>
                <w:color w:val="333333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z w:val="20"/>
                <w:szCs w:val="20"/>
              </w:rPr>
              <w:t>5.属于三类内部事务信息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</w:tr>
      <w:tr w:rsidR="0082099C">
        <w:trPr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99C" w:rsidRDefault="0082099C">
            <w:pPr>
              <w:widowControl/>
              <w:spacing w:line="300" w:lineRule="exact"/>
              <w:jc w:val="left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82099C">
            <w:pPr>
              <w:widowControl/>
              <w:spacing w:line="300" w:lineRule="exact"/>
              <w:jc w:val="left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spacing w:line="300" w:lineRule="exact"/>
              <w:rPr>
                <w:rFonts w:asciiTheme="minorEastAsia" w:hAnsiTheme="minorEastAsia" w:cstheme="minorEastAsia"/>
                <w:color w:val="333333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z w:val="20"/>
                <w:szCs w:val="20"/>
              </w:rPr>
              <w:t>6.属于四类过程性信息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</w:tr>
      <w:tr w:rsidR="0082099C">
        <w:trPr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99C" w:rsidRDefault="0082099C">
            <w:pPr>
              <w:widowControl/>
              <w:spacing w:line="300" w:lineRule="exact"/>
              <w:jc w:val="left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82099C">
            <w:pPr>
              <w:widowControl/>
              <w:spacing w:line="300" w:lineRule="exact"/>
              <w:jc w:val="left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spacing w:line="300" w:lineRule="exact"/>
              <w:rPr>
                <w:rFonts w:asciiTheme="minorEastAsia" w:hAnsiTheme="minorEastAsia" w:cstheme="minorEastAsia"/>
                <w:color w:val="333333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z w:val="20"/>
                <w:szCs w:val="20"/>
              </w:rPr>
              <w:t>7.属于行政执法案卷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</w:tr>
      <w:tr w:rsidR="0082099C">
        <w:trPr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99C" w:rsidRDefault="0082099C">
            <w:pPr>
              <w:widowControl/>
              <w:spacing w:line="300" w:lineRule="exact"/>
              <w:jc w:val="left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82099C">
            <w:pPr>
              <w:widowControl/>
              <w:spacing w:line="300" w:lineRule="exact"/>
              <w:jc w:val="left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spacing w:line="300" w:lineRule="exact"/>
              <w:rPr>
                <w:rFonts w:asciiTheme="minorEastAsia" w:hAnsiTheme="minorEastAsia" w:cstheme="minorEastAsia"/>
                <w:color w:val="333333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z w:val="20"/>
                <w:szCs w:val="20"/>
              </w:rPr>
              <w:t>8.属于行政查询事项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</w:tr>
      <w:tr w:rsidR="0082099C">
        <w:trPr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99C" w:rsidRDefault="0082099C">
            <w:pPr>
              <w:widowControl/>
              <w:spacing w:line="300" w:lineRule="exact"/>
              <w:jc w:val="center"/>
              <w:rPr>
                <w:rFonts w:asciiTheme="minorEastAsia" w:hAnsiTheme="minorEastAsia" w:cstheme="minorEastAsia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spacing w:line="300" w:lineRule="exact"/>
              <w:jc w:val="left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z w:val="20"/>
                <w:szCs w:val="20"/>
              </w:rPr>
              <w:t>（四）无法提供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spacing w:line="300" w:lineRule="exact"/>
              <w:rPr>
                <w:rFonts w:asciiTheme="minorEastAsia" w:hAnsiTheme="minorEastAsia" w:cstheme="minorEastAsia"/>
                <w:color w:val="333333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z w:val="20"/>
                <w:szCs w:val="20"/>
              </w:rPr>
              <w:t>1.本机关不掌握相关政府信息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FB6D2A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FB6D2A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6</w:t>
            </w:r>
          </w:p>
        </w:tc>
      </w:tr>
      <w:tr w:rsidR="0082099C">
        <w:trPr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99C" w:rsidRDefault="0082099C">
            <w:pPr>
              <w:widowControl/>
              <w:spacing w:line="300" w:lineRule="exact"/>
              <w:jc w:val="left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82099C">
            <w:pPr>
              <w:widowControl/>
              <w:spacing w:line="300" w:lineRule="exact"/>
              <w:jc w:val="left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spacing w:line="300" w:lineRule="exact"/>
              <w:rPr>
                <w:rFonts w:asciiTheme="minorEastAsia" w:hAnsiTheme="minorEastAsia" w:cstheme="minorEastAsia"/>
                <w:color w:val="333333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z w:val="20"/>
                <w:szCs w:val="20"/>
              </w:rPr>
              <w:t>2.没有现成信息需要另行制作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</w:tr>
      <w:tr w:rsidR="0082099C">
        <w:trPr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99C" w:rsidRDefault="0082099C">
            <w:pPr>
              <w:widowControl/>
              <w:spacing w:line="300" w:lineRule="exact"/>
              <w:jc w:val="left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82099C">
            <w:pPr>
              <w:widowControl/>
              <w:spacing w:line="300" w:lineRule="exact"/>
              <w:jc w:val="left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spacing w:line="300" w:lineRule="exact"/>
              <w:rPr>
                <w:rFonts w:asciiTheme="minorEastAsia" w:hAnsiTheme="minorEastAsia" w:cstheme="minorEastAsia"/>
                <w:color w:val="333333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z w:val="20"/>
                <w:szCs w:val="20"/>
              </w:rPr>
              <w:t>3.补正后申请内容仍不明确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</w:tr>
      <w:tr w:rsidR="0082099C">
        <w:trPr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99C" w:rsidRDefault="0082099C">
            <w:pPr>
              <w:widowControl/>
              <w:spacing w:line="300" w:lineRule="exact"/>
              <w:jc w:val="left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spacing w:line="300" w:lineRule="exact"/>
              <w:jc w:val="left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z w:val="20"/>
                <w:szCs w:val="20"/>
              </w:rPr>
              <w:t>（五）不予处理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spacing w:line="300" w:lineRule="exact"/>
              <w:rPr>
                <w:rFonts w:asciiTheme="minorEastAsia" w:hAnsiTheme="minorEastAsia" w:cstheme="minorEastAsia"/>
                <w:color w:val="333333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z w:val="20"/>
                <w:szCs w:val="20"/>
              </w:rPr>
              <w:t>1.信访举报投诉类申请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</w:tr>
      <w:tr w:rsidR="0082099C">
        <w:trPr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99C" w:rsidRDefault="0082099C">
            <w:pPr>
              <w:widowControl/>
              <w:spacing w:line="300" w:lineRule="exact"/>
              <w:jc w:val="left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82099C">
            <w:pPr>
              <w:widowControl/>
              <w:spacing w:line="300" w:lineRule="exact"/>
              <w:jc w:val="left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spacing w:line="300" w:lineRule="exact"/>
              <w:rPr>
                <w:rFonts w:asciiTheme="minorEastAsia" w:hAnsiTheme="minorEastAsia" w:cstheme="minorEastAsia"/>
                <w:color w:val="333333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z w:val="20"/>
                <w:szCs w:val="20"/>
              </w:rPr>
              <w:t>2.重复申请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</w:tr>
      <w:tr w:rsidR="0082099C">
        <w:trPr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99C" w:rsidRDefault="0082099C">
            <w:pPr>
              <w:widowControl/>
              <w:spacing w:line="300" w:lineRule="exact"/>
              <w:jc w:val="left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82099C">
            <w:pPr>
              <w:widowControl/>
              <w:spacing w:line="300" w:lineRule="exact"/>
              <w:jc w:val="left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spacing w:line="300" w:lineRule="exact"/>
              <w:rPr>
                <w:rFonts w:asciiTheme="minorEastAsia" w:hAnsiTheme="minorEastAsia" w:cstheme="minorEastAsia"/>
                <w:color w:val="333333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z w:val="20"/>
                <w:szCs w:val="20"/>
              </w:rPr>
              <w:t>3.要求提供公开出版物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</w:tr>
      <w:tr w:rsidR="0082099C">
        <w:trPr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99C" w:rsidRDefault="0082099C">
            <w:pPr>
              <w:widowControl/>
              <w:spacing w:line="300" w:lineRule="exact"/>
              <w:jc w:val="left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82099C">
            <w:pPr>
              <w:widowControl/>
              <w:spacing w:line="300" w:lineRule="exact"/>
              <w:jc w:val="left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spacing w:line="300" w:lineRule="exact"/>
              <w:rPr>
                <w:rFonts w:asciiTheme="minorEastAsia" w:hAnsiTheme="minorEastAsia" w:cstheme="minorEastAsia"/>
                <w:color w:val="333333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z w:val="20"/>
                <w:szCs w:val="20"/>
              </w:rPr>
              <w:t>4.无正当理由大量反复申请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</w:tr>
      <w:tr w:rsidR="0082099C">
        <w:trPr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99C" w:rsidRDefault="0082099C">
            <w:pPr>
              <w:widowControl/>
              <w:spacing w:line="300" w:lineRule="exact"/>
              <w:jc w:val="left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82099C">
            <w:pPr>
              <w:widowControl/>
              <w:spacing w:line="300" w:lineRule="exact"/>
              <w:jc w:val="left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spacing w:line="300" w:lineRule="exact"/>
              <w:rPr>
                <w:rFonts w:asciiTheme="minorEastAsia" w:hAnsiTheme="minorEastAsia" w:cstheme="minorEastAsia"/>
                <w:color w:val="333333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</w:tr>
      <w:tr w:rsidR="0082099C">
        <w:trPr>
          <w:trHeight w:val="356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99C" w:rsidRDefault="0082099C">
            <w:pPr>
              <w:widowControl/>
              <w:spacing w:line="300" w:lineRule="exact"/>
              <w:jc w:val="left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spacing w:line="300" w:lineRule="exact"/>
              <w:rPr>
                <w:rFonts w:asciiTheme="minorEastAsia" w:hAnsiTheme="minorEastAsia" w:cstheme="minorEastAsia"/>
                <w:color w:val="333333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z w:val="20"/>
                <w:szCs w:val="20"/>
              </w:rPr>
              <w:t>（六）</w:t>
            </w:r>
            <w:r>
              <w:rPr>
                <w:rFonts w:asciiTheme="minorEastAsia" w:hAnsiTheme="minorEastAsia" w:cstheme="minorEastAsia" w:hint="eastAsia"/>
                <w:color w:val="333333"/>
                <w:sz w:val="20"/>
                <w:szCs w:val="20"/>
              </w:rPr>
              <w:lastRenderedPageBreak/>
              <w:t>其他处理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spacing w:line="300" w:lineRule="exact"/>
              <w:rPr>
                <w:rFonts w:asciiTheme="minorEastAsia" w:hAnsiTheme="minorEastAsia" w:cstheme="minorEastAsia"/>
                <w:color w:val="333333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z w:val="20"/>
                <w:szCs w:val="20"/>
              </w:rPr>
              <w:lastRenderedPageBreak/>
              <w:t>1.申请人无正当理由逾期不</w:t>
            </w:r>
            <w:r>
              <w:rPr>
                <w:rFonts w:asciiTheme="minorEastAsia" w:hAnsiTheme="minorEastAsia" w:cstheme="minorEastAsia" w:hint="eastAsia"/>
                <w:color w:val="333333"/>
                <w:sz w:val="20"/>
                <w:szCs w:val="20"/>
              </w:rPr>
              <w:lastRenderedPageBreak/>
              <w:t>补正、行政机关不再处理其政府信息公开申请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lastRenderedPageBreak/>
              <w:t>1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1</w:t>
            </w:r>
          </w:p>
        </w:tc>
      </w:tr>
      <w:tr w:rsidR="0082099C">
        <w:trPr>
          <w:trHeight w:val="356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99C" w:rsidRDefault="0082099C">
            <w:pPr>
              <w:widowControl/>
              <w:spacing w:line="300" w:lineRule="exact"/>
            </w:pPr>
          </w:p>
        </w:tc>
        <w:tc>
          <w:tcPr>
            <w:tcW w:w="8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2099C" w:rsidRDefault="0082099C">
            <w:pPr>
              <w:widowControl/>
              <w:spacing w:line="300" w:lineRule="exact"/>
            </w:pP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spacing w:line="300" w:lineRule="exact"/>
              <w:rPr>
                <w:rFonts w:asciiTheme="minorEastAsia" w:hAnsiTheme="minorEastAsia" w:cstheme="minorEastAsia"/>
                <w:color w:val="333333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2099C" w:rsidRPr="00620AC2" w:rsidRDefault="0082099C">
            <w:pPr>
              <w:widowControl/>
              <w:spacing w:line="300" w:lineRule="exact"/>
              <w:rPr>
                <w:rFonts w:asciiTheme="minorEastAsia" w:hAnsiTheme="minorEastAsia" w:cstheme="minorEastAsia"/>
                <w:color w:val="FF0000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2099C" w:rsidRPr="00816951" w:rsidRDefault="0082099C">
            <w:pPr>
              <w:widowControl/>
              <w:spacing w:line="300" w:lineRule="exact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2099C" w:rsidRPr="00816951" w:rsidRDefault="0082099C">
            <w:pPr>
              <w:widowControl/>
              <w:spacing w:line="300" w:lineRule="exact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2099C" w:rsidRPr="00816951" w:rsidRDefault="0082099C">
            <w:pPr>
              <w:widowControl/>
              <w:spacing w:line="300" w:lineRule="exact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2099C" w:rsidRPr="00816951" w:rsidRDefault="0082099C">
            <w:pPr>
              <w:widowControl/>
              <w:spacing w:line="300" w:lineRule="exact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2099C" w:rsidRPr="00816951" w:rsidRDefault="0082099C">
            <w:pPr>
              <w:widowControl/>
              <w:spacing w:line="300" w:lineRule="exact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6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2099C" w:rsidRPr="00620AC2" w:rsidRDefault="0082099C">
            <w:pPr>
              <w:widowControl/>
              <w:spacing w:line="300" w:lineRule="exact"/>
              <w:rPr>
                <w:rFonts w:asciiTheme="minorEastAsia" w:hAnsiTheme="minorEastAsia" w:cstheme="minorEastAsia"/>
                <w:color w:val="FF0000"/>
                <w:sz w:val="20"/>
                <w:szCs w:val="20"/>
              </w:rPr>
            </w:pPr>
          </w:p>
        </w:tc>
      </w:tr>
      <w:tr w:rsidR="0082099C">
        <w:trPr>
          <w:trHeight w:val="356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99C" w:rsidRDefault="0082099C">
            <w:pPr>
              <w:widowControl/>
              <w:spacing w:line="300" w:lineRule="exact"/>
              <w:rPr>
                <w:rFonts w:asciiTheme="minorEastAsia" w:hAnsiTheme="minorEastAsia" w:cstheme="minorEastAsia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82099C">
            <w:pPr>
              <w:widowControl/>
              <w:spacing w:line="300" w:lineRule="exact"/>
              <w:rPr>
                <w:rFonts w:asciiTheme="minorEastAsia" w:hAnsiTheme="minorEastAsia" w:cstheme="minorEastAsia"/>
                <w:color w:val="333333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spacing w:line="300" w:lineRule="exact"/>
              <w:rPr>
                <w:rFonts w:asciiTheme="minorEastAsia" w:hAnsiTheme="minorEastAsia" w:cstheme="minorEastAsia"/>
                <w:color w:val="333333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z w:val="20"/>
                <w:szCs w:val="20"/>
              </w:rPr>
              <w:t>3.其他</w:t>
            </w:r>
          </w:p>
        </w:tc>
        <w:tc>
          <w:tcPr>
            <w:tcW w:w="6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620AC2" w:rsidRDefault="0082099C">
            <w:pPr>
              <w:widowControl/>
              <w:spacing w:line="300" w:lineRule="exact"/>
              <w:rPr>
                <w:rFonts w:asciiTheme="minorEastAsia" w:hAnsiTheme="minorEastAsia" w:cstheme="minorEastAsia"/>
                <w:color w:val="FF0000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816951" w:rsidRDefault="0082099C">
            <w:pPr>
              <w:widowControl/>
              <w:spacing w:line="300" w:lineRule="exact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816951" w:rsidRDefault="0082099C">
            <w:pPr>
              <w:widowControl/>
              <w:spacing w:line="300" w:lineRule="exact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816951" w:rsidRDefault="0082099C">
            <w:pPr>
              <w:widowControl/>
              <w:spacing w:line="300" w:lineRule="exact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816951" w:rsidRDefault="0082099C">
            <w:pPr>
              <w:widowControl/>
              <w:spacing w:line="300" w:lineRule="exact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816951" w:rsidRDefault="0082099C">
            <w:pPr>
              <w:widowControl/>
              <w:spacing w:line="300" w:lineRule="exact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620AC2" w:rsidRDefault="0082099C">
            <w:pPr>
              <w:widowControl/>
              <w:spacing w:line="300" w:lineRule="exact"/>
              <w:rPr>
                <w:rFonts w:asciiTheme="minorEastAsia" w:hAnsiTheme="minorEastAsia" w:cstheme="minorEastAsia"/>
                <w:color w:val="FF0000"/>
                <w:sz w:val="20"/>
                <w:szCs w:val="20"/>
              </w:rPr>
            </w:pPr>
          </w:p>
        </w:tc>
      </w:tr>
      <w:tr w:rsidR="0082099C">
        <w:trPr>
          <w:jc w:val="center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82099C">
            <w:pPr>
              <w:widowControl/>
              <w:spacing w:line="300" w:lineRule="exact"/>
              <w:jc w:val="left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spacing w:line="300" w:lineRule="exact"/>
              <w:rPr>
                <w:rFonts w:asciiTheme="minorEastAsia" w:hAnsiTheme="minorEastAsia" w:cstheme="minorEastAsia"/>
                <w:color w:val="333333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z w:val="20"/>
                <w:szCs w:val="20"/>
              </w:rPr>
              <w:t>（七）总计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FB6D2A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FB6D2A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szCs w:val="21"/>
              </w:rPr>
            </w:pPr>
            <w:r w:rsidRPr="00FB6D2A">
              <w:rPr>
                <w:rFonts w:ascii="Times New Roman" w:eastAsia="方正楷体简体" w:hAnsi="Times New Roman" w:cs="Times New Roman" w:hint="eastAsia"/>
                <w:color w:val="000000" w:themeColor="text1"/>
                <w:szCs w:val="21"/>
              </w:rPr>
              <w:t>12</w:t>
            </w:r>
          </w:p>
        </w:tc>
      </w:tr>
      <w:tr w:rsidR="0082099C">
        <w:trPr>
          <w:jc w:val="center"/>
        </w:trPr>
        <w:tc>
          <w:tcPr>
            <w:tcW w:w="4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spacing w:line="300" w:lineRule="exact"/>
              <w:jc w:val="left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z w:val="20"/>
                <w:szCs w:val="20"/>
              </w:rPr>
              <w:t>四、结转下年度继续办理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FB6D2A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FB6D2A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FB6D2A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FB6D2A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FB6D2A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FB6D2A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Pr="00FB6D2A" w:rsidRDefault="00E558E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FB6D2A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0</w:t>
            </w:r>
          </w:p>
        </w:tc>
      </w:tr>
    </w:tbl>
    <w:p w:rsidR="0082099C" w:rsidRDefault="0082099C" w:rsidP="00765D6B">
      <w:pPr>
        <w:spacing w:line="440" w:lineRule="exact"/>
        <w:rPr>
          <w:rFonts w:ascii="Times New Roman" w:eastAsia="方正仿宋简体" w:hAnsi="Times New Roman" w:cs="Times New Roman"/>
          <w:b/>
          <w:sz w:val="30"/>
          <w:szCs w:val="30"/>
        </w:rPr>
      </w:pPr>
    </w:p>
    <w:p w:rsidR="0082099C" w:rsidRDefault="00E558ED" w:rsidP="00765D6B">
      <w:pPr>
        <w:spacing w:line="440" w:lineRule="exact"/>
        <w:ind w:firstLineChars="200" w:firstLine="640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四、政府信息公开行政复议、行政诉讼情况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82099C">
        <w:trPr>
          <w:jc w:val="center"/>
        </w:trPr>
        <w:tc>
          <w:tcPr>
            <w:tcW w:w="3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行政诉讼</w:t>
            </w:r>
          </w:p>
        </w:tc>
      </w:tr>
      <w:tr w:rsidR="0082099C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复议后起诉</w:t>
            </w:r>
          </w:p>
        </w:tc>
      </w:tr>
      <w:tr w:rsidR="0082099C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82099C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82099C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82099C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82099C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82099C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82099C">
        <w:trPr>
          <w:trHeight w:val="672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9C" w:rsidRDefault="00E558ED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0</w:t>
            </w:r>
          </w:p>
        </w:tc>
      </w:tr>
    </w:tbl>
    <w:p w:rsidR="0082099C" w:rsidRDefault="00E558ED">
      <w:pPr>
        <w:spacing w:line="560" w:lineRule="exact"/>
        <w:ind w:firstLineChars="200" w:firstLine="640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五、存在的主要问题及改进情况</w:t>
      </w:r>
    </w:p>
    <w:p w:rsidR="0082099C" w:rsidRPr="00BC3D21" w:rsidRDefault="00970C12" w:rsidP="00A62E6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FF0000"/>
          <w:sz w:val="32"/>
        </w:rPr>
      </w:pPr>
      <w:r w:rsidRPr="00BC3D21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2024</w:t>
      </w:r>
      <w:r w:rsidRPr="00BC3D21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年</w:t>
      </w:r>
      <w:r w:rsidR="00A62E6D" w:rsidRPr="00BC3D21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我局政务公开工作虽然有所成效，但对照国务院及省委、省政府关于深化政务公开的部署要求还存在一定差距：一是部分政策解读形式不够丰富，解读质量还有待提高；二是信息发布和更新效率有待提高，公开内容还需进一步细化。</w:t>
      </w:r>
    </w:p>
    <w:p w:rsidR="0082099C" w:rsidRPr="00584F7D" w:rsidRDefault="00BC3D21">
      <w:pPr>
        <w:spacing w:line="560" w:lineRule="exact"/>
        <w:ind w:firstLineChars="200" w:firstLine="640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r w:rsidRPr="00BC3D21">
        <w:rPr>
          <w:rFonts w:ascii="Times New Roman" w:eastAsia="仿宋" w:hAnsi="Times New Roman" w:cs="Times New Roman"/>
          <w:color w:val="000000"/>
          <w:sz w:val="32"/>
          <w:szCs w:val="32"/>
        </w:rPr>
        <w:t>2025</w:t>
      </w:r>
      <w:r w:rsidR="00970C12" w:rsidRPr="00BC3D21">
        <w:rPr>
          <w:rFonts w:ascii="Times New Roman" w:eastAsia="仿宋" w:hAnsi="仿宋" w:cs="Times New Roman"/>
          <w:color w:val="000000"/>
          <w:sz w:val="32"/>
          <w:szCs w:val="32"/>
        </w:rPr>
        <w:t>年</w:t>
      </w:r>
      <w:r w:rsidR="00970C12">
        <w:rPr>
          <w:rFonts w:ascii="仿宋" w:eastAsia="仿宋" w:hAnsi="仿宋" w:hint="eastAsia"/>
          <w:color w:val="000000"/>
          <w:sz w:val="32"/>
          <w:szCs w:val="32"/>
        </w:rPr>
        <w:t>我局将针对以上问题，积极改进：</w:t>
      </w:r>
      <w:bookmarkStart w:id="0" w:name="_GoBack"/>
      <w:bookmarkEnd w:id="0"/>
      <w:r w:rsidR="00970C12" w:rsidRPr="00584F7D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一是丰富政策解读形式</w:t>
      </w:r>
      <w:r w:rsidR="007C4AB6" w:rsidRPr="00584F7D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，</w:t>
      </w:r>
      <w:r w:rsidR="00970C12" w:rsidRPr="00584F7D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严格落实“谁起草、谁解读”制度，运用</w:t>
      </w:r>
      <w:r w:rsidR="00765D6B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多元化形式</w:t>
      </w:r>
      <w:r w:rsidR="00970C12" w:rsidRPr="00584F7D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深入浅出阐明政策要点，增强解读内容的易懂性和可读性，努力让社会公众读得懂、信得过、能监督。</w:t>
      </w:r>
      <w:r w:rsidR="00B0669A" w:rsidRPr="00B0669A">
        <w:rPr>
          <w:rFonts w:ascii="Times New Roman" w:eastAsia="方正仿宋_GBK" w:hAnsi="Times New Roman" w:hint="eastAsia"/>
          <w:bCs/>
          <w:color w:val="000000" w:themeColor="text1"/>
          <w:sz w:val="32"/>
          <w:szCs w:val="32"/>
        </w:rPr>
        <w:t>二是</w:t>
      </w:r>
      <w:r w:rsidR="00765D6B" w:rsidRPr="00765D6B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加强对从事信息公开工作业务人员的培训</w:t>
      </w:r>
      <w:r w:rsidR="00B0669A" w:rsidRPr="00B0669A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，提升政务公开能力</w:t>
      </w:r>
      <w:r w:rsidR="001C6133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，</w:t>
      </w:r>
      <w:r w:rsidR="00B0669A" w:rsidRPr="00B0669A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及时公布重要信息，不断提升信息发布的深度和广度。</w:t>
      </w:r>
    </w:p>
    <w:p w:rsidR="0082099C" w:rsidRDefault="00E558ED">
      <w:pPr>
        <w:spacing w:line="560" w:lineRule="exact"/>
        <w:ind w:firstLineChars="200" w:firstLine="640"/>
        <w:rPr>
          <w:rFonts w:ascii="方正仿宋_GBK" w:eastAsia="方正黑体_GBK" w:hAnsi="方正仿宋_GBK" w:cs="方正仿宋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六、其他需要报告的事项</w:t>
      </w:r>
    </w:p>
    <w:p w:rsidR="0082099C" w:rsidRDefault="00E558ED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 w:rsidRPr="00FE50A6">
        <w:rPr>
          <w:rFonts w:ascii="Times New Roman" w:eastAsia="方正仿宋_GBK" w:hAnsi="Times New Roman" w:cs="Times New Roman"/>
          <w:bCs/>
          <w:sz w:val="32"/>
          <w:szCs w:val="32"/>
        </w:rPr>
        <w:t>202</w:t>
      </w:r>
      <w:r w:rsidR="00FE50A6" w:rsidRPr="00FE50A6">
        <w:rPr>
          <w:rFonts w:ascii="Times New Roman" w:eastAsia="方正仿宋_GBK" w:hAnsi="Times New Roman" w:cs="Times New Roman"/>
          <w:bCs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年度本机关未收取信息公开处理费。</w:t>
      </w:r>
    </w:p>
    <w:sectPr w:rsidR="0082099C" w:rsidSect="0082099C">
      <w:footerReference w:type="default" r:id="rId7"/>
      <w:pgSz w:w="11906" w:h="16838"/>
      <w:pgMar w:top="1701" w:right="1474" w:bottom="158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C80" w:rsidRDefault="00805C80" w:rsidP="0082099C">
      <w:r>
        <w:separator/>
      </w:r>
    </w:p>
  </w:endnote>
  <w:endnote w:type="continuationSeparator" w:id="1">
    <w:p w:rsidR="00805C80" w:rsidRDefault="00805C80" w:rsidP="00820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楷体_GB2312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99C" w:rsidRDefault="00AA686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84.95pt;margin-top:-8.95pt;width:43.85pt;height:20.45pt;z-index:251659264;mso-position-horizontal-relative:margin" o:gfxdata="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RStOJ2QAAAAoBAAAPAAAAAAAAAAEAIAAAACIAAABkcnMvZG93&#10;bnJldi54bWxQSwECFAAUAAAACACHTuJARgAkvTgCAABhBAAADgAAAAAAAAABACAAAAAoAQAAZHJz&#10;L2Uyb0RvYy54bWxQSwUGAAAAAAYABgBZAQAA0gUAAAAA&#10;" filled="f" stroked="f" strokeweight=".5pt">
          <v:textbox inset="0,0,0,0">
            <w:txbxContent>
              <w:p w:rsidR="0082099C" w:rsidRDefault="00E558ED">
                <w:pPr>
                  <w:pStyle w:val="a4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Times New Roman" w:hAnsi="Times New Roman" w:cs="Times New Roman" w:hint="eastAsia"/>
                    <w:sz w:val="32"/>
                    <w:szCs w:val="32"/>
                  </w:rPr>
                  <w:t>—</w:t>
                </w:r>
                <w:r w:rsidR="00AA6867">
                  <w:rPr>
                    <w:rFonts w:ascii="Times New Roman" w:hAnsi="Times New Roman" w:cs="Times New Roman"/>
                    <w:sz w:val="32"/>
                    <w:szCs w:val="32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32"/>
                    <w:szCs w:val="32"/>
                  </w:rPr>
                  <w:instrText xml:space="preserve"> PAGE  \* MERGEFORMAT </w:instrText>
                </w:r>
                <w:r w:rsidR="00AA6867">
                  <w:rPr>
                    <w:rFonts w:ascii="Times New Roman" w:hAnsi="Times New Roman" w:cs="Times New Roman"/>
                    <w:sz w:val="32"/>
                    <w:szCs w:val="32"/>
                  </w:rPr>
                  <w:fldChar w:fldCharType="separate"/>
                </w:r>
                <w:r w:rsidR="00F16A8A">
                  <w:rPr>
                    <w:rFonts w:ascii="Times New Roman" w:hAnsi="Times New Roman" w:cs="Times New Roman"/>
                    <w:noProof/>
                    <w:sz w:val="32"/>
                    <w:szCs w:val="32"/>
                  </w:rPr>
                  <w:t>2</w:t>
                </w:r>
                <w:r w:rsidR="00AA6867">
                  <w:rPr>
                    <w:rFonts w:ascii="Times New Roman" w:hAnsi="Times New Roman" w:cs="Times New Roman"/>
                    <w:sz w:val="32"/>
                    <w:szCs w:val="32"/>
                  </w:rPr>
                  <w:fldChar w:fldCharType="end"/>
                </w:r>
                <w:r>
                  <w:rPr>
                    <w:rFonts w:ascii="Times New Roman" w:hAnsi="Times New Roman" w:cs="Times New Roman" w:hint="eastAsia"/>
                    <w:sz w:val="32"/>
                    <w:szCs w:val="32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C80" w:rsidRDefault="00805C80" w:rsidP="0082099C">
      <w:r>
        <w:separator/>
      </w:r>
    </w:p>
  </w:footnote>
  <w:footnote w:type="continuationSeparator" w:id="1">
    <w:p w:rsidR="00805C80" w:rsidRDefault="00805C80" w:rsidP="008209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I3NDc1NDI0MGNjYTAyMzU4N2RhMTk1YjQ2MDNlYzYifQ=="/>
  </w:docVars>
  <w:rsids>
    <w:rsidRoot w:val="003A1340"/>
    <w:rsid w:val="00033275"/>
    <w:rsid w:val="000916A3"/>
    <w:rsid w:val="000C1165"/>
    <w:rsid w:val="000F1CB1"/>
    <w:rsid w:val="000F38CB"/>
    <w:rsid w:val="001665D4"/>
    <w:rsid w:val="001762B5"/>
    <w:rsid w:val="001C6133"/>
    <w:rsid w:val="00200716"/>
    <w:rsid w:val="00203255"/>
    <w:rsid w:val="00204102"/>
    <w:rsid w:val="00234EE3"/>
    <w:rsid w:val="00255837"/>
    <w:rsid w:val="00321FE9"/>
    <w:rsid w:val="003557A7"/>
    <w:rsid w:val="003A1340"/>
    <w:rsid w:val="003A42E2"/>
    <w:rsid w:val="003B15D0"/>
    <w:rsid w:val="003C4808"/>
    <w:rsid w:val="00400984"/>
    <w:rsid w:val="00480682"/>
    <w:rsid w:val="004A0016"/>
    <w:rsid w:val="0050056C"/>
    <w:rsid w:val="0051030F"/>
    <w:rsid w:val="00521CEF"/>
    <w:rsid w:val="0057753F"/>
    <w:rsid w:val="00584F7D"/>
    <w:rsid w:val="005D4D65"/>
    <w:rsid w:val="00600BF3"/>
    <w:rsid w:val="00617DC0"/>
    <w:rsid w:val="00620AC2"/>
    <w:rsid w:val="00644EF5"/>
    <w:rsid w:val="006B5CF1"/>
    <w:rsid w:val="006D0010"/>
    <w:rsid w:val="006E340B"/>
    <w:rsid w:val="006F0D1D"/>
    <w:rsid w:val="00702483"/>
    <w:rsid w:val="0073516E"/>
    <w:rsid w:val="007434F9"/>
    <w:rsid w:val="00751871"/>
    <w:rsid w:val="00753298"/>
    <w:rsid w:val="00765D6B"/>
    <w:rsid w:val="00774BDF"/>
    <w:rsid w:val="00776953"/>
    <w:rsid w:val="007C4AB6"/>
    <w:rsid w:val="007D39CF"/>
    <w:rsid w:val="00805C80"/>
    <w:rsid w:val="00811D46"/>
    <w:rsid w:val="00816951"/>
    <w:rsid w:val="0082099C"/>
    <w:rsid w:val="00834CA5"/>
    <w:rsid w:val="00850850"/>
    <w:rsid w:val="00865E08"/>
    <w:rsid w:val="00910B7E"/>
    <w:rsid w:val="00931877"/>
    <w:rsid w:val="00951B2E"/>
    <w:rsid w:val="00970C12"/>
    <w:rsid w:val="00A07375"/>
    <w:rsid w:val="00A13EE8"/>
    <w:rsid w:val="00A5417B"/>
    <w:rsid w:val="00A62E6D"/>
    <w:rsid w:val="00A63B24"/>
    <w:rsid w:val="00A748D3"/>
    <w:rsid w:val="00AA6867"/>
    <w:rsid w:val="00AF5F6E"/>
    <w:rsid w:val="00B0669A"/>
    <w:rsid w:val="00B27DCB"/>
    <w:rsid w:val="00B52066"/>
    <w:rsid w:val="00BC3D21"/>
    <w:rsid w:val="00C15385"/>
    <w:rsid w:val="00CC749B"/>
    <w:rsid w:val="00CD321C"/>
    <w:rsid w:val="00CD55A5"/>
    <w:rsid w:val="00D01D65"/>
    <w:rsid w:val="00D533C8"/>
    <w:rsid w:val="00D93F35"/>
    <w:rsid w:val="00DC7903"/>
    <w:rsid w:val="00DD6607"/>
    <w:rsid w:val="00E24B59"/>
    <w:rsid w:val="00E558ED"/>
    <w:rsid w:val="00EC1D6C"/>
    <w:rsid w:val="00EC36C3"/>
    <w:rsid w:val="00F05815"/>
    <w:rsid w:val="00F16A8A"/>
    <w:rsid w:val="00F62C4D"/>
    <w:rsid w:val="00F80153"/>
    <w:rsid w:val="00FA7CCE"/>
    <w:rsid w:val="00FB6D2A"/>
    <w:rsid w:val="00FC6DE0"/>
    <w:rsid w:val="00FE50A6"/>
    <w:rsid w:val="01BB79E8"/>
    <w:rsid w:val="060C252B"/>
    <w:rsid w:val="06981D1F"/>
    <w:rsid w:val="06FA011B"/>
    <w:rsid w:val="0DEB22D1"/>
    <w:rsid w:val="0E472340"/>
    <w:rsid w:val="0EF023B5"/>
    <w:rsid w:val="0F3B3E37"/>
    <w:rsid w:val="144C02E3"/>
    <w:rsid w:val="14BA08BC"/>
    <w:rsid w:val="15A5713A"/>
    <w:rsid w:val="15AA029D"/>
    <w:rsid w:val="18B96638"/>
    <w:rsid w:val="194272C0"/>
    <w:rsid w:val="19DA27C0"/>
    <w:rsid w:val="1B7C22E3"/>
    <w:rsid w:val="1B8D50EF"/>
    <w:rsid w:val="1BC54906"/>
    <w:rsid w:val="1D36381F"/>
    <w:rsid w:val="1D3E1672"/>
    <w:rsid w:val="1D710FEC"/>
    <w:rsid w:val="1F7F6F52"/>
    <w:rsid w:val="1FB63C10"/>
    <w:rsid w:val="1FB7272B"/>
    <w:rsid w:val="221E53C8"/>
    <w:rsid w:val="2377085B"/>
    <w:rsid w:val="27753CD9"/>
    <w:rsid w:val="2D9929DA"/>
    <w:rsid w:val="2D9E64E4"/>
    <w:rsid w:val="2E4F2C6E"/>
    <w:rsid w:val="2FC56583"/>
    <w:rsid w:val="306A7B78"/>
    <w:rsid w:val="306B53EE"/>
    <w:rsid w:val="327D72B8"/>
    <w:rsid w:val="336A0B9D"/>
    <w:rsid w:val="34D8378E"/>
    <w:rsid w:val="35172C27"/>
    <w:rsid w:val="36376D1A"/>
    <w:rsid w:val="36517957"/>
    <w:rsid w:val="36D82A20"/>
    <w:rsid w:val="380A05F1"/>
    <w:rsid w:val="38E10050"/>
    <w:rsid w:val="39157E76"/>
    <w:rsid w:val="399265F6"/>
    <w:rsid w:val="3C1F32F2"/>
    <w:rsid w:val="3E8A7F53"/>
    <w:rsid w:val="41641A5C"/>
    <w:rsid w:val="44DA0C2A"/>
    <w:rsid w:val="450A6863"/>
    <w:rsid w:val="469C5DC3"/>
    <w:rsid w:val="46B26E67"/>
    <w:rsid w:val="470B2B1F"/>
    <w:rsid w:val="471362A9"/>
    <w:rsid w:val="47924E89"/>
    <w:rsid w:val="49634C8F"/>
    <w:rsid w:val="49C4581C"/>
    <w:rsid w:val="4C88644F"/>
    <w:rsid w:val="4C934C01"/>
    <w:rsid w:val="4CEF245B"/>
    <w:rsid w:val="50C21D66"/>
    <w:rsid w:val="50EA015F"/>
    <w:rsid w:val="510E1680"/>
    <w:rsid w:val="51EB2DA7"/>
    <w:rsid w:val="53C517D7"/>
    <w:rsid w:val="55097B8A"/>
    <w:rsid w:val="58081ABD"/>
    <w:rsid w:val="590E6962"/>
    <w:rsid w:val="5A6A7BA2"/>
    <w:rsid w:val="5A7A2E25"/>
    <w:rsid w:val="5C570F76"/>
    <w:rsid w:val="5CA26954"/>
    <w:rsid w:val="5D141A5D"/>
    <w:rsid w:val="5D555F44"/>
    <w:rsid w:val="60B222C9"/>
    <w:rsid w:val="66901B9B"/>
    <w:rsid w:val="66E11A22"/>
    <w:rsid w:val="6A54669C"/>
    <w:rsid w:val="6AF3411B"/>
    <w:rsid w:val="6B555DD9"/>
    <w:rsid w:val="6CA14824"/>
    <w:rsid w:val="6D846490"/>
    <w:rsid w:val="6E6829CA"/>
    <w:rsid w:val="6FC35501"/>
    <w:rsid w:val="70BA3A62"/>
    <w:rsid w:val="72915E3B"/>
    <w:rsid w:val="73DD30BA"/>
    <w:rsid w:val="7476358D"/>
    <w:rsid w:val="791F4A85"/>
    <w:rsid w:val="7D2B4115"/>
    <w:rsid w:val="7E690F20"/>
    <w:rsid w:val="7E6B2A38"/>
    <w:rsid w:val="7F477001"/>
    <w:rsid w:val="7FE91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82099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sid w:val="0082099C"/>
    <w:rPr>
      <w:sz w:val="18"/>
      <w:szCs w:val="18"/>
    </w:rPr>
  </w:style>
  <w:style w:type="paragraph" w:styleId="a4">
    <w:name w:val="footer"/>
    <w:basedOn w:val="a"/>
    <w:autoRedefine/>
    <w:uiPriority w:val="99"/>
    <w:semiHidden/>
    <w:unhideWhenUsed/>
    <w:qFormat/>
    <w:rsid w:val="0082099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autoRedefine/>
    <w:uiPriority w:val="99"/>
    <w:semiHidden/>
    <w:unhideWhenUsed/>
    <w:qFormat/>
    <w:rsid w:val="0082099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11">
    <w:name w:val="正文111"/>
    <w:basedOn w:val="a"/>
    <w:autoRedefine/>
    <w:qFormat/>
    <w:rsid w:val="00203255"/>
    <w:pPr>
      <w:spacing w:line="560" w:lineRule="exact"/>
      <w:ind w:firstLineChars="200" w:firstLine="640"/>
    </w:pPr>
    <w:rPr>
      <w:rFonts w:ascii="Times New Roman" w:eastAsia="方正仿宋_GBK" w:hAnsi="Times New Roman"/>
      <w:color w:val="000000" w:themeColor="text1"/>
      <w:sz w:val="32"/>
      <w:szCs w:val="32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sid w:val="0082099C"/>
    <w:rPr>
      <w:sz w:val="18"/>
      <w:szCs w:val="18"/>
    </w:rPr>
  </w:style>
  <w:style w:type="paragraph" w:customStyle="1" w:styleId="Style1">
    <w:name w:val="_Style 1"/>
    <w:basedOn w:val="a"/>
    <w:autoRedefine/>
    <w:uiPriority w:val="34"/>
    <w:qFormat/>
    <w:rsid w:val="0082099C"/>
    <w:pPr>
      <w:ind w:firstLineChars="200" w:firstLine="420"/>
    </w:pPr>
  </w:style>
  <w:style w:type="character" w:styleId="a6">
    <w:name w:val="Strong"/>
    <w:basedOn w:val="a0"/>
    <w:uiPriority w:val="22"/>
    <w:qFormat/>
    <w:rsid w:val="00A62E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4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lenveo</dc:creator>
  <cp:lastModifiedBy>NTKO</cp:lastModifiedBy>
  <cp:revision>86</cp:revision>
  <cp:lastPrinted>2021-03-30T11:31:00Z</cp:lastPrinted>
  <dcterms:created xsi:type="dcterms:W3CDTF">2025-01-10T01:03:00Z</dcterms:created>
  <dcterms:modified xsi:type="dcterms:W3CDTF">2025-01-16T07:13:00Z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129BC4ACFC3F493FAC7F01F63120D1A3</vt:lpwstr>
  </property>
</Properties>
</file>