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eastAsia" w:eastAsia="方正黑体_GBK"/>
          <w:sz w:val="32"/>
          <w:szCs w:val="32"/>
        </w:rPr>
      </w:pPr>
      <w:r>
        <w:rPr>
          <w:rFonts w:hint="eastAsia" w:eastAsia="方正黑体_GBK"/>
          <w:sz w:val="32"/>
          <w:szCs w:val="32"/>
        </w:rPr>
        <w:t>附件1</w:t>
      </w:r>
    </w:p>
    <w:p>
      <w:pPr>
        <w:adjustRightInd w:val="0"/>
        <w:snapToGrid w:val="0"/>
        <w:spacing w:line="300" w:lineRule="auto"/>
        <w:rPr>
          <w:rFonts w:hint="eastAsia" w:eastAsia="方正仿宋_GBK"/>
          <w:sz w:val="32"/>
          <w:szCs w:val="32"/>
        </w:rPr>
      </w:pPr>
    </w:p>
    <w:p>
      <w:pPr>
        <w:adjustRightInd w:val="0"/>
        <w:snapToGrid w:val="0"/>
        <w:spacing w:line="300" w:lineRule="auto"/>
        <w:jc w:val="center"/>
        <w:rPr>
          <w:rFonts w:hint="eastAsia" w:eastAsia="方正小标宋_GBK"/>
          <w:sz w:val="44"/>
          <w:szCs w:val="44"/>
        </w:rPr>
      </w:pPr>
      <w:bookmarkStart w:id="0" w:name="_GoBack"/>
      <w:r>
        <w:rPr>
          <w:rFonts w:hint="eastAsia" w:eastAsia="方正小标宋_GBK"/>
          <w:sz w:val="44"/>
          <w:szCs w:val="44"/>
        </w:rPr>
        <w:t>南京市政府国资委对所监管</w:t>
      </w:r>
    </w:p>
    <w:p>
      <w:pPr>
        <w:adjustRightInd w:val="0"/>
        <w:snapToGrid w:val="0"/>
        <w:spacing w:line="300" w:lineRule="auto"/>
        <w:jc w:val="center"/>
        <w:rPr>
          <w:rFonts w:hint="eastAsia" w:eastAsia="方正小标宋_GBK"/>
          <w:sz w:val="44"/>
          <w:szCs w:val="44"/>
        </w:rPr>
      </w:pPr>
      <w:r>
        <w:rPr>
          <w:rFonts w:hint="eastAsia" w:eastAsia="方正小标宋_GBK"/>
          <w:sz w:val="44"/>
          <w:szCs w:val="44"/>
        </w:rPr>
        <w:t>市属集团的授权放权清单</w:t>
      </w:r>
      <w:bookmarkEnd w:id="0"/>
    </w:p>
    <w:p>
      <w:pPr>
        <w:adjustRightInd w:val="0"/>
        <w:snapToGrid w:val="0"/>
        <w:spacing w:line="300" w:lineRule="auto"/>
        <w:ind w:firstLine="640" w:firstLineChars="200"/>
        <w:rPr>
          <w:rFonts w:eastAsia="方正仿宋_GBK"/>
          <w:sz w:val="32"/>
          <w:szCs w:val="32"/>
        </w:rPr>
      </w:pP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授权市属集团董事会审批企业五年发展战略和规划，向国资委报告结果。市属集团按照国家规划周期、国民经济和社会发展五年规划建议，以及国有经济布局结构调整方向和市属集团中长期发展规划要求，组织编制本企业五年发展战略和规划，经董事会批准后实施。</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2．授权市属集团董事会按照《南京市市属国有企业投资监督管理办法》（宁国资委规〔2017〕111号）的规定，根据市属国有企业投资项目负面清单、企业发展战略和规划，在经市政府国资委备案的企业全面预算范围内，决定集团年度投资计划。</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3．授权市属集团董事会审议批准年度全面预算方案和决算方案，报市国资委备案。</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4．市属集团审批所属企业的混合所有制改革方案（市属重点企业除外）。</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5．授权市属集团决定集团及所属企业以非公开协议方式参与该集团内部其他子企业的增资行为。</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6．支持市属集团所属企业按照市场化选聘、契约化管理、差异化薪酬、市场化退出的原则，采取公开招聘等市场化方式选聘职业经理人，合理增加市场化选聘比例，加快建立职业经理人制度。</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7．支持市属集团所属企业市场化选聘的职业经理人实行市场化薪酬分配制度，薪酬总水平由企业根据国家相关政策，参考境内市场同类可比人员薪酬价位，统筹考虑企业发展战略、经营目标及成效、薪酬策略等因素，与职业经理人协商确定，可以采取多种方式探索完善中长期激励机制。</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8．对市属集团实行工资总额预算备案制或核准制管理。市属集团对其所属企业的工资总额预算进行备案或核准。</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9．市属集团审批所属科技型子企业股权和分红激励方案，企业实施分红激励所需支出计入工资总额，但不受当年本单位工资总额限制、不纳入本单位工资总额基数，不作为企业职工教育经费、工会经费、社会保险费、补充养老及补充医疗保险费、住房公积金等的计提依据。</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10．市属集团年金总体方案抄送市政府国资委，市属集团审批所属企业制定的具体年金实施方案。</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11．市属集团控股上市公司股权激励计划报市政府国资委同意后，市属集团审批分期实施方案。</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12．支持市属集团在符合条件的所属企业开展多种形式的股权激励，股权激励的实际收益水平，不与员工个人薪酬总水平挂钩，不纳入本单位工资总额基数。</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13．市属集团决定集团会计政策和会计估计变更。</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14．市属集团合理确定公司担保规模，制定担保风险防范措施，决定集团担保事项。</w:t>
      </w:r>
    </w:p>
    <w:p>
      <w:pPr>
        <w:adjustRightInd w:val="0"/>
        <w:snapToGrid w:val="0"/>
        <w:spacing w:line="300" w:lineRule="auto"/>
        <w:ind w:firstLine="640" w:firstLineChars="200"/>
      </w:pPr>
      <w:r>
        <w:rPr>
          <w:rFonts w:hint="eastAsia" w:eastAsia="方正仿宋_GBK"/>
          <w:sz w:val="32"/>
          <w:szCs w:val="32"/>
        </w:rPr>
        <w:t>15．授权市属集团制定债务风险管理制度，合理安排长短期负债比重，强化对所属企业的资产负债约束，建立债务风险动态监测和预警机制。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158AB"/>
    <w:rsid w:val="06E1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2020-01-17T11:46:00Z</dcterms:created>
  <dc:creator>Back to Tomorrow</dc:creator>
  <cp:lastModifiedBy>Back to Tomorrow</cp:lastModifiedBy>
  <dcterms:modified xsi:type="dcterms:W3CDTF">2020-01-17T11:47:53Z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