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249" w:rsidRDefault="00307317">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hint="eastAsia"/>
          <w:sz w:val="44"/>
          <w:szCs w:val="44"/>
        </w:rPr>
        <w:t>进一步完善招标投标制度规则</w:t>
      </w:r>
    </w:p>
    <w:p w:rsidR="00B33249" w:rsidRDefault="00307317">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有关事项的通知</w:t>
      </w:r>
    </w:p>
    <w:p w:rsidR="00B33249" w:rsidRPr="00B00368" w:rsidRDefault="00B33249">
      <w:pPr>
        <w:rPr>
          <w:rFonts w:ascii="Times New Roman" w:eastAsia="方正仿宋_GBK" w:hAnsi="Times New Roman" w:cs="Times New Roman"/>
          <w:sz w:val="32"/>
          <w:szCs w:val="32"/>
        </w:rPr>
      </w:pPr>
    </w:p>
    <w:p w:rsidR="00B33249" w:rsidRDefault="00307317" w:rsidP="00F72FA5">
      <w:pPr>
        <w:spacing w:line="58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各有关单位：</w:t>
      </w:r>
    </w:p>
    <w:p w:rsidR="00B33249" w:rsidRDefault="00307317"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sz w:val="32"/>
          <w:szCs w:val="32"/>
        </w:rPr>
        <w:t>为贯彻《国务院办公厅关于创新完善体制机制推动招</w:t>
      </w:r>
      <w:r w:rsidR="00746920">
        <w:rPr>
          <w:rFonts w:ascii="Times New Roman" w:eastAsia="方正仿宋_GBK" w:hAnsi="Times New Roman" w:cs="Times New Roman" w:hint="eastAsia"/>
          <w:sz w:val="32"/>
          <w:szCs w:val="32"/>
        </w:rPr>
        <w:t>标</w:t>
      </w:r>
      <w:r>
        <w:rPr>
          <w:rFonts w:ascii="Times New Roman" w:eastAsia="方正仿宋_GBK" w:hAnsi="Times New Roman" w:cs="Times New Roman"/>
          <w:sz w:val="32"/>
          <w:szCs w:val="32"/>
        </w:rPr>
        <w:t>投标市场规范健康发展的意见》</w:t>
      </w:r>
      <w:r w:rsidR="00D72B07">
        <w:rPr>
          <w:rFonts w:ascii="Times New Roman" w:eastAsia="方正仿宋_GBK" w:hAnsi="Times New Roman" w:cs="Times New Roman" w:hint="eastAsia"/>
          <w:sz w:val="32"/>
          <w:szCs w:val="32"/>
        </w:rPr>
        <w:t>（国办发〔</w:t>
      </w:r>
      <w:r w:rsidR="00D72B07">
        <w:rPr>
          <w:rFonts w:ascii="Times New Roman" w:eastAsia="方正仿宋_GBK" w:hAnsi="Times New Roman" w:cs="Times New Roman" w:hint="eastAsia"/>
          <w:sz w:val="32"/>
          <w:szCs w:val="32"/>
        </w:rPr>
        <w:t>2024</w:t>
      </w:r>
      <w:r w:rsidR="00D72B07">
        <w:rPr>
          <w:rFonts w:ascii="Times New Roman" w:eastAsia="方正仿宋_GBK" w:hAnsi="Times New Roman" w:cs="Times New Roman" w:hint="eastAsia"/>
          <w:sz w:val="32"/>
          <w:szCs w:val="32"/>
        </w:rPr>
        <w:t>〕</w:t>
      </w:r>
      <w:r w:rsidR="00D72B07">
        <w:rPr>
          <w:rFonts w:ascii="Times New Roman" w:eastAsia="方正仿宋_GBK" w:hAnsi="Times New Roman" w:cs="Times New Roman" w:hint="eastAsia"/>
          <w:sz w:val="32"/>
          <w:szCs w:val="32"/>
        </w:rPr>
        <w:t>21</w:t>
      </w:r>
      <w:r w:rsidR="00D72B07">
        <w:rPr>
          <w:rFonts w:ascii="Times New Roman" w:eastAsia="方正仿宋_GBK" w:hAnsi="Times New Roman" w:cs="Times New Roman" w:hint="eastAsia"/>
          <w:sz w:val="32"/>
          <w:szCs w:val="32"/>
        </w:rPr>
        <w:t>号）文件</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持续规范</w:t>
      </w:r>
      <w:r>
        <w:rPr>
          <w:rFonts w:ascii="Times New Roman" w:eastAsia="方正仿宋_GBK" w:hAnsi="Times New Roman" w:cs="Times New Roman" w:hint="eastAsia"/>
          <w:sz w:val="32"/>
          <w:szCs w:val="32"/>
        </w:rPr>
        <w:t>房屋建筑和市政基础设施工程</w:t>
      </w:r>
      <w:r>
        <w:rPr>
          <w:rFonts w:ascii="Times New Roman" w:eastAsia="方正仿宋_GBK" w:hAnsi="Times New Roman" w:cs="Times New Roman"/>
          <w:sz w:val="32"/>
          <w:szCs w:val="32"/>
        </w:rPr>
        <w:t>招投标管理，</w:t>
      </w:r>
      <w:r w:rsidR="00B00368">
        <w:rPr>
          <w:rFonts w:ascii="Times New Roman" w:eastAsia="方正仿宋_GBK" w:hAnsi="Times New Roman" w:cs="Times New Roman" w:hint="eastAsia"/>
          <w:sz w:val="32"/>
          <w:szCs w:val="32"/>
        </w:rPr>
        <w:t>推动</w:t>
      </w:r>
      <w:r>
        <w:rPr>
          <w:rFonts w:ascii="Times New Roman" w:eastAsia="方正仿宋_GBK" w:hAnsi="Times New Roman" w:cs="Times New Roman" w:hint="eastAsia"/>
          <w:sz w:val="32"/>
          <w:szCs w:val="32"/>
        </w:rPr>
        <w:t>阳光招投标体系建设</w:t>
      </w:r>
      <w:r>
        <w:rPr>
          <w:rFonts w:ascii="Times New Roman" w:eastAsia="方正仿宋_GBK" w:hAnsi="Times New Roman" w:cs="Times New Roman"/>
          <w:sz w:val="32"/>
          <w:szCs w:val="32"/>
        </w:rPr>
        <w:t>，现</w:t>
      </w:r>
      <w:r>
        <w:rPr>
          <w:rFonts w:ascii="Times New Roman" w:eastAsia="方正仿宋_GBK" w:hAnsi="Times New Roman" w:cs="Times New Roman" w:hint="eastAsia"/>
          <w:sz w:val="32"/>
          <w:szCs w:val="32"/>
        </w:rPr>
        <w:t>就完善招标投标制度规则</w:t>
      </w:r>
      <w:r>
        <w:rPr>
          <w:rFonts w:ascii="Times New Roman" w:eastAsia="方正仿宋_GBK" w:hAnsi="Times New Roman" w:cs="Times New Roman"/>
          <w:sz w:val="32"/>
          <w:szCs w:val="32"/>
        </w:rPr>
        <w:t>有关事项通知如下：</w:t>
      </w:r>
    </w:p>
    <w:p w:rsidR="00B33249" w:rsidRPr="00F72FA5" w:rsidRDefault="00307317" w:rsidP="00F72FA5">
      <w:pPr>
        <w:spacing w:line="580" w:lineRule="exact"/>
        <w:ind w:firstLine="624"/>
        <w:rPr>
          <w:rFonts w:ascii="方正黑体_GBK" w:eastAsia="方正黑体_GBK" w:hAnsi="方正黑体_GBK" w:cs="Times New Roman"/>
          <w:sz w:val="32"/>
          <w:szCs w:val="32"/>
        </w:rPr>
      </w:pPr>
      <w:r w:rsidRPr="00F72FA5">
        <w:rPr>
          <w:rFonts w:ascii="方正黑体_GBK" w:eastAsia="方正黑体_GBK" w:hAnsi="方正黑体_GBK" w:cs="Times New Roman" w:hint="eastAsia"/>
          <w:sz w:val="32"/>
          <w:szCs w:val="32"/>
        </w:rPr>
        <w:t>一、</w:t>
      </w:r>
      <w:r w:rsidRPr="00F72FA5">
        <w:rPr>
          <w:rFonts w:ascii="方正黑体_GBK" w:eastAsia="方正黑体_GBK" w:hAnsi="方正黑体_GBK" w:cs="Times New Roman"/>
          <w:sz w:val="32"/>
          <w:szCs w:val="32"/>
        </w:rPr>
        <w:t>招标人主体责任方面</w:t>
      </w:r>
    </w:p>
    <w:p w:rsidR="003945A6" w:rsidRPr="00207229" w:rsidRDefault="00B00368" w:rsidP="00207229">
      <w:pPr>
        <w:spacing w:line="580" w:lineRule="exact"/>
        <w:ind w:firstLine="624"/>
        <w:rPr>
          <w:rFonts w:ascii="Times New Roman" w:eastAsia="方正仿宋_GBK" w:hAnsi="Times New Roman" w:cs="Times New Roman"/>
          <w:sz w:val="32"/>
          <w:szCs w:val="32"/>
        </w:rPr>
      </w:pPr>
      <w:r w:rsidRPr="00207229">
        <w:rPr>
          <w:rFonts w:ascii="Times New Roman" w:eastAsia="方正仿宋_GBK" w:hAnsi="Times New Roman" w:cs="Times New Roman" w:hint="eastAsia"/>
          <w:sz w:val="32"/>
          <w:szCs w:val="32"/>
        </w:rPr>
        <w:t>1</w:t>
      </w:r>
      <w:r w:rsidR="00307317" w:rsidRPr="00207229">
        <w:rPr>
          <w:rFonts w:ascii="Times New Roman" w:eastAsia="方正仿宋_GBK" w:hAnsi="Times New Roman" w:cs="Times New Roman"/>
          <w:sz w:val="32"/>
          <w:szCs w:val="32"/>
        </w:rPr>
        <w:t>.</w:t>
      </w:r>
      <w:r w:rsidR="00995C4A" w:rsidRPr="00207229">
        <w:rPr>
          <w:rFonts w:ascii="Times New Roman" w:eastAsia="方正仿宋_GBK" w:hAnsi="Times New Roman" w:cs="Times New Roman" w:hint="eastAsia"/>
          <w:sz w:val="32"/>
          <w:szCs w:val="32"/>
        </w:rPr>
        <w:t>强化招标人内控机制。</w:t>
      </w:r>
      <w:r w:rsidR="00B26DFD" w:rsidRPr="00B26DFD">
        <w:rPr>
          <w:rFonts w:ascii="Times New Roman" w:eastAsia="方正仿宋_GBK" w:hAnsi="Times New Roman" w:cs="Times New Roman" w:hint="eastAsia"/>
          <w:sz w:val="32"/>
          <w:szCs w:val="32"/>
        </w:rPr>
        <w:t>招标人自行办理招标事宜的应当在公共资源交易平台注册项目时提交自行办理招标备案表，明确招标组织机构、成员及工作职责。</w:t>
      </w:r>
      <w:r w:rsidR="006C0CFC" w:rsidRPr="00207229">
        <w:rPr>
          <w:rFonts w:ascii="Times New Roman" w:eastAsia="方正仿宋_GBK" w:hAnsi="Times New Roman" w:cs="Times New Roman" w:hint="eastAsia"/>
          <w:sz w:val="32"/>
          <w:szCs w:val="32"/>
        </w:rPr>
        <w:t>招标项目需要划分标段的应当合理划分标段，并在公共资源交易平台注册项目时提交初步发包方案。</w:t>
      </w:r>
      <w:r w:rsidR="00EC3ADF" w:rsidRPr="00207229">
        <w:rPr>
          <w:rFonts w:ascii="Times New Roman" w:eastAsia="方正仿宋_GBK" w:hAnsi="Times New Roman" w:cs="Times New Roman" w:hint="eastAsia"/>
          <w:sz w:val="32"/>
          <w:szCs w:val="32"/>
        </w:rPr>
        <w:t>依法必须进行招标的项目，招标人应当自确定中标人之日起十五日内，在公共资源交易平台提交招标投标情况书面报告。</w:t>
      </w:r>
    </w:p>
    <w:p w:rsidR="00B33249" w:rsidRDefault="003945A6" w:rsidP="00F72FA5">
      <w:pPr>
        <w:spacing w:line="580" w:lineRule="exact"/>
        <w:ind w:firstLine="624"/>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sidR="00307317">
        <w:rPr>
          <w:rFonts w:ascii="Times New Roman" w:eastAsia="方正仿宋_GBK" w:hAnsi="Times New Roman" w:cs="Times New Roman"/>
          <w:sz w:val="32"/>
          <w:szCs w:val="32"/>
        </w:rPr>
        <w:t>严格评标报告复核。招标人应</w:t>
      </w:r>
      <w:r w:rsidR="00307317">
        <w:rPr>
          <w:rFonts w:ascii="Times New Roman" w:eastAsia="方正仿宋_GBK" w:hAnsi="Times New Roman" w:cs="Times New Roman" w:hint="eastAsia"/>
          <w:sz w:val="32"/>
          <w:szCs w:val="32"/>
        </w:rPr>
        <w:t>当在</w:t>
      </w:r>
      <w:r w:rsidR="00307317">
        <w:rPr>
          <w:rFonts w:ascii="Times New Roman" w:eastAsia="方正仿宋_GBK" w:hAnsi="Times New Roman" w:cs="Times New Roman"/>
          <w:sz w:val="32"/>
          <w:szCs w:val="32"/>
        </w:rPr>
        <w:t>中标候选人公示前</w:t>
      </w:r>
      <w:r w:rsidR="00307317">
        <w:rPr>
          <w:rFonts w:ascii="Times New Roman" w:eastAsia="方正仿宋_GBK" w:hAnsi="Times New Roman" w:cs="Times New Roman" w:hint="eastAsia"/>
          <w:sz w:val="32"/>
          <w:szCs w:val="32"/>
        </w:rPr>
        <w:t>，认真审查评标委员会提交的书面</w:t>
      </w:r>
      <w:r w:rsidR="00307317">
        <w:rPr>
          <w:rFonts w:ascii="Times New Roman" w:eastAsia="方正仿宋_GBK" w:hAnsi="Times New Roman" w:cs="Times New Roman"/>
          <w:sz w:val="32"/>
          <w:szCs w:val="32"/>
        </w:rPr>
        <w:t>评标报告，</w:t>
      </w:r>
      <w:r w:rsidR="00CE365D" w:rsidRPr="006C0CFC">
        <w:rPr>
          <w:rFonts w:ascii="Times New Roman" w:eastAsia="方正仿宋_GBK" w:hAnsi="Times New Roman" w:cs="Times New Roman" w:hint="eastAsia"/>
          <w:sz w:val="32"/>
          <w:szCs w:val="32"/>
        </w:rPr>
        <w:t>形成书面审查报告，</w:t>
      </w:r>
      <w:r w:rsidR="00307317">
        <w:rPr>
          <w:rFonts w:ascii="Times New Roman" w:eastAsia="方正仿宋_GBK" w:hAnsi="Times New Roman" w:cs="Times New Roman"/>
          <w:sz w:val="32"/>
          <w:szCs w:val="32"/>
        </w:rPr>
        <w:t>发现</w:t>
      </w:r>
      <w:r w:rsidR="00307317">
        <w:rPr>
          <w:rFonts w:ascii="Times New Roman" w:eastAsia="方正仿宋_GBK" w:hAnsi="Times New Roman" w:cs="Times New Roman" w:hint="eastAsia"/>
          <w:sz w:val="32"/>
          <w:szCs w:val="32"/>
        </w:rPr>
        <w:t>存在《招标人主体责任履行指引》第二十五条等情形的，应当</w:t>
      </w:r>
      <w:r w:rsidR="00137D86">
        <w:rPr>
          <w:rFonts w:ascii="Times New Roman" w:eastAsia="方正仿宋_GBK" w:hAnsi="Times New Roman" w:cs="Times New Roman" w:hint="eastAsia"/>
          <w:sz w:val="32"/>
          <w:szCs w:val="32"/>
        </w:rPr>
        <w:t>及时</w:t>
      </w:r>
      <w:r w:rsidR="00307317">
        <w:rPr>
          <w:rFonts w:ascii="Times New Roman" w:eastAsia="方正仿宋_GBK" w:hAnsi="Times New Roman" w:cs="Times New Roman" w:hint="eastAsia"/>
          <w:sz w:val="32"/>
          <w:szCs w:val="32"/>
        </w:rPr>
        <w:t>向有关招标投标行政监督部门</w:t>
      </w:r>
      <w:r w:rsidR="00911036">
        <w:rPr>
          <w:rFonts w:ascii="Times New Roman" w:eastAsia="方正仿宋_GBK" w:hAnsi="Times New Roman" w:cs="Times New Roman" w:hint="eastAsia"/>
          <w:sz w:val="32"/>
          <w:szCs w:val="32"/>
        </w:rPr>
        <w:t>提交</w:t>
      </w:r>
      <w:r w:rsidR="00CE365D" w:rsidRPr="006C0CFC">
        <w:rPr>
          <w:rFonts w:ascii="Times New Roman" w:eastAsia="方正仿宋_GBK" w:hAnsi="Times New Roman" w:cs="Times New Roman" w:hint="eastAsia"/>
          <w:sz w:val="32"/>
          <w:szCs w:val="32"/>
        </w:rPr>
        <w:t>书面审查</w:t>
      </w:r>
      <w:r w:rsidR="00307317">
        <w:rPr>
          <w:rFonts w:ascii="Times New Roman" w:eastAsia="方正仿宋_GBK" w:hAnsi="Times New Roman" w:cs="Times New Roman" w:hint="eastAsia"/>
          <w:sz w:val="32"/>
          <w:szCs w:val="32"/>
        </w:rPr>
        <w:t>报告，并要求评标委员会进行复核</w:t>
      </w:r>
      <w:r w:rsidR="00D07251">
        <w:rPr>
          <w:rFonts w:ascii="Times New Roman" w:eastAsia="方正仿宋_GBK" w:hAnsi="Times New Roman" w:cs="Times New Roman" w:hint="eastAsia"/>
          <w:sz w:val="32"/>
          <w:szCs w:val="32"/>
        </w:rPr>
        <w:t>；</w:t>
      </w:r>
      <w:r w:rsidR="0011551E" w:rsidRPr="0011551E">
        <w:rPr>
          <w:rFonts w:ascii="Times New Roman" w:eastAsia="方正仿宋_GBK" w:hAnsi="Times New Roman" w:cs="Times New Roman" w:hint="eastAsia"/>
          <w:sz w:val="32"/>
          <w:szCs w:val="32"/>
        </w:rPr>
        <w:t>确认存在问题的，</w:t>
      </w:r>
      <w:r w:rsidR="0011551E">
        <w:rPr>
          <w:rFonts w:ascii="Times New Roman" w:eastAsia="方正仿宋_GBK" w:hAnsi="Times New Roman" w:cs="Times New Roman" w:hint="eastAsia"/>
          <w:sz w:val="32"/>
          <w:szCs w:val="32"/>
        </w:rPr>
        <w:t>应当要求评标委</w:t>
      </w:r>
      <w:r w:rsidR="0011551E">
        <w:rPr>
          <w:rFonts w:ascii="Times New Roman" w:eastAsia="方正仿宋_GBK" w:hAnsi="Times New Roman" w:cs="Times New Roman" w:hint="eastAsia"/>
          <w:sz w:val="32"/>
          <w:szCs w:val="32"/>
        </w:rPr>
        <w:lastRenderedPageBreak/>
        <w:t>员会进行纠正</w:t>
      </w:r>
      <w:r w:rsidR="00137D86">
        <w:rPr>
          <w:rFonts w:ascii="Times New Roman" w:eastAsia="方正仿宋_GBK" w:hAnsi="Times New Roman" w:cs="Times New Roman" w:hint="eastAsia"/>
          <w:sz w:val="32"/>
          <w:szCs w:val="32"/>
        </w:rPr>
        <w:t>。</w:t>
      </w:r>
    </w:p>
    <w:p w:rsidR="0016556D" w:rsidRDefault="00BE33E3"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sidR="000F449F">
        <w:rPr>
          <w:rFonts w:ascii="Times New Roman" w:eastAsia="方正仿宋_GBK" w:hAnsi="Times New Roman" w:cs="Times New Roman" w:hint="eastAsia"/>
          <w:sz w:val="32"/>
          <w:szCs w:val="32"/>
        </w:rPr>
        <w:t>.</w:t>
      </w:r>
      <w:r w:rsidR="000F449F">
        <w:rPr>
          <w:rFonts w:ascii="Times New Roman" w:eastAsia="方正仿宋_GBK" w:hAnsi="Times New Roman" w:cs="Times New Roman" w:hint="eastAsia"/>
          <w:sz w:val="32"/>
          <w:szCs w:val="32"/>
        </w:rPr>
        <w:t>实行招标人异常情形抄送制度。对招标人</w:t>
      </w:r>
      <w:r w:rsidR="000F449F">
        <w:rPr>
          <w:rFonts w:ascii="Times New Roman" w:eastAsia="方正仿宋_GBK" w:hAnsi="Times New Roman" w:cs="Times New Roman"/>
          <w:sz w:val="32"/>
          <w:szCs w:val="32"/>
        </w:rPr>
        <w:t>没有认真</w:t>
      </w:r>
      <w:r w:rsidR="0016556D">
        <w:rPr>
          <w:rFonts w:ascii="Times New Roman" w:eastAsia="方正仿宋_GBK" w:hAnsi="Times New Roman" w:cs="Times New Roman" w:hint="eastAsia"/>
          <w:sz w:val="32"/>
          <w:szCs w:val="32"/>
        </w:rPr>
        <w:t>审查</w:t>
      </w:r>
      <w:r w:rsidR="000F449F">
        <w:rPr>
          <w:rFonts w:ascii="Times New Roman" w:eastAsia="方正仿宋_GBK" w:hAnsi="Times New Roman" w:cs="Times New Roman"/>
          <w:sz w:val="32"/>
          <w:szCs w:val="32"/>
        </w:rPr>
        <w:t>评标报告</w:t>
      </w:r>
      <w:r w:rsidR="0016556D">
        <w:rPr>
          <w:rFonts w:ascii="Times New Roman" w:eastAsia="方正仿宋_GBK" w:hAnsi="Times New Roman" w:cs="Times New Roman" w:hint="eastAsia"/>
          <w:sz w:val="32"/>
          <w:szCs w:val="32"/>
        </w:rPr>
        <w:t>，</w:t>
      </w:r>
      <w:r w:rsidR="000F449F">
        <w:rPr>
          <w:rFonts w:ascii="Times New Roman" w:eastAsia="方正仿宋_GBK" w:hAnsi="Times New Roman" w:cs="Times New Roman" w:hint="eastAsia"/>
          <w:sz w:val="32"/>
          <w:szCs w:val="32"/>
        </w:rPr>
        <w:t>对收到的异议和责令核查事项核查不客观、不公正，</w:t>
      </w:r>
      <w:r w:rsidR="0016556D">
        <w:rPr>
          <w:rFonts w:ascii="Times New Roman" w:eastAsia="方正仿宋_GBK" w:hAnsi="Times New Roman" w:cs="Times New Roman" w:hint="eastAsia"/>
          <w:sz w:val="32"/>
          <w:szCs w:val="32"/>
        </w:rPr>
        <w:t>对组织的招标项目多次发生投诉</w:t>
      </w:r>
      <w:r w:rsidR="0063682A" w:rsidRPr="00393FCD">
        <w:rPr>
          <w:rFonts w:ascii="Times New Roman" w:eastAsia="方正仿宋_GBK" w:hAnsi="Times New Roman" w:cs="Times New Roman" w:hint="eastAsia"/>
          <w:sz w:val="32"/>
          <w:szCs w:val="32"/>
        </w:rPr>
        <w:t>，</w:t>
      </w:r>
      <w:r w:rsidR="0016556D">
        <w:rPr>
          <w:rFonts w:ascii="Times New Roman" w:eastAsia="方正仿宋_GBK" w:hAnsi="Times New Roman" w:cs="Times New Roman" w:hint="eastAsia"/>
          <w:sz w:val="32"/>
          <w:szCs w:val="32"/>
        </w:rPr>
        <w:t>以及其他异常情形，</w:t>
      </w:r>
      <w:r w:rsidR="000F449F">
        <w:rPr>
          <w:rFonts w:ascii="Times New Roman" w:eastAsia="方正仿宋_GBK" w:hAnsi="Times New Roman" w:cs="Times New Roman" w:hint="eastAsia"/>
          <w:sz w:val="32"/>
          <w:szCs w:val="32"/>
        </w:rPr>
        <w:t>招投标监管部门可将异常情形抄送招标人同级或其上级单位党组织、纪检监察组织</w:t>
      </w:r>
      <w:r w:rsidR="0016556D">
        <w:rPr>
          <w:rFonts w:ascii="Times New Roman" w:eastAsia="方正仿宋_GBK" w:hAnsi="Times New Roman" w:cs="Times New Roman" w:hint="eastAsia"/>
          <w:sz w:val="32"/>
          <w:szCs w:val="32"/>
        </w:rPr>
        <w:t>、财政部门、审计机关等，建议相关管理部门在后续工程实施过程中加大监督力度。</w:t>
      </w:r>
    </w:p>
    <w:p w:rsidR="00B33249" w:rsidRDefault="00BE33E3"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sidR="00307317">
        <w:rPr>
          <w:rFonts w:ascii="Times New Roman" w:eastAsia="方正仿宋_GBK" w:hAnsi="Times New Roman" w:cs="Times New Roman"/>
          <w:sz w:val="32"/>
          <w:szCs w:val="32"/>
        </w:rPr>
        <w:t>.</w:t>
      </w:r>
      <w:r w:rsidR="00307317">
        <w:rPr>
          <w:rFonts w:ascii="Times New Roman" w:eastAsia="方正仿宋_GBK" w:hAnsi="Times New Roman" w:cs="Times New Roman"/>
          <w:sz w:val="32"/>
          <w:szCs w:val="32"/>
        </w:rPr>
        <w:t>规范</w:t>
      </w:r>
      <w:r w:rsidR="00307317">
        <w:rPr>
          <w:rFonts w:ascii="Times New Roman" w:eastAsia="方正仿宋_GBK" w:hAnsi="Times New Roman" w:cs="Times New Roman" w:hint="eastAsia"/>
          <w:sz w:val="32"/>
          <w:szCs w:val="32"/>
        </w:rPr>
        <w:t>合同</w:t>
      </w:r>
      <w:r w:rsidR="00307317">
        <w:rPr>
          <w:rFonts w:ascii="Times New Roman" w:eastAsia="方正仿宋_GBK" w:hAnsi="Times New Roman" w:cs="Times New Roman"/>
          <w:sz w:val="32"/>
          <w:szCs w:val="32"/>
        </w:rPr>
        <w:t>及履约信息</w:t>
      </w:r>
      <w:r w:rsidR="00307317">
        <w:rPr>
          <w:rFonts w:ascii="Times New Roman" w:eastAsia="方正仿宋_GBK" w:hAnsi="Times New Roman" w:cs="Times New Roman" w:hint="eastAsia"/>
          <w:sz w:val="32"/>
          <w:szCs w:val="32"/>
        </w:rPr>
        <w:t>归集和</w:t>
      </w:r>
      <w:r w:rsidR="00307317">
        <w:rPr>
          <w:rFonts w:ascii="Times New Roman" w:eastAsia="方正仿宋_GBK" w:hAnsi="Times New Roman" w:cs="Times New Roman"/>
          <w:sz w:val="32"/>
          <w:szCs w:val="32"/>
        </w:rPr>
        <w:t>公开。</w:t>
      </w:r>
      <w:r w:rsidR="00307317">
        <w:rPr>
          <w:rFonts w:ascii="Times New Roman" w:eastAsia="方正仿宋_GBK" w:hAnsi="Times New Roman" w:cs="Times New Roman" w:hint="eastAsia"/>
          <w:sz w:val="32"/>
          <w:szCs w:val="32"/>
        </w:rPr>
        <w:t>招标人应当按照《招标人主体责任履行指引》《南京市阳光招投标综合监管平台使用管理暂行办法》等要求，通过“宁易新”交易系统及时归集合同、补充协议、分包合同订立信息。与招标投标活动相关的在建工程信息、项目负责人变更信息、招标终止信息等应及时在“江苏建设工程招标网”发布。</w:t>
      </w:r>
    </w:p>
    <w:p w:rsidR="00B33249" w:rsidRPr="00F72FA5" w:rsidRDefault="00307317" w:rsidP="00F72FA5">
      <w:pPr>
        <w:spacing w:line="580" w:lineRule="exact"/>
        <w:ind w:firstLine="624"/>
        <w:rPr>
          <w:rFonts w:ascii="方正黑体_GBK" w:eastAsia="方正黑体_GBK" w:hAnsi="方正黑体_GBK" w:cs="Times New Roman"/>
          <w:sz w:val="32"/>
          <w:szCs w:val="32"/>
        </w:rPr>
      </w:pPr>
      <w:r w:rsidRPr="00F72FA5">
        <w:rPr>
          <w:rFonts w:ascii="方正黑体_GBK" w:eastAsia="方正黑体_GBK" w:hAnsi="方正黑体_GBK" w:cs="Times New Roman" w:hint="eastAsia"/>
          <w:sz w:val="32"/>
          <w:szCs w:val="32"/>
        </w:rPr>
        <w:t>二、规范</w:t>
      </w:r>
      <w:r w:rsidRPr="00F72FA5">
        <w:rPr>
          <w:rFonts w:ascii="方正黑体_GBK" w:eastAsia="方正黑体_GBK" w:hAnsi="方正黑体_GBK" w:cs="Times New Roman"/>
          <w:sz w:val="32"/>
          <w:szCs w:val="32"/>
        </w:rPr>
        <w:t>招投标管理要求</w:t>
      </w:r>
    </w:p>
    <w:p w:rsidR="00344586" w:rsidRDefault="00BE33E3"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5</w:t>
      </w:r>
      <w:r w:rsidR="00344586" w:rsidRPr="00344586">
        <w:rPr>
          <w:rFonts w:ascii="Times New Roman" w:eastAsia="方正仿宋_GBK" w:hAnsi="Times New Roman" w:cs="Times New Roman"/>
          <w:sz w:val="32"/>
          <w:szCs w:val="32"/>
        </w:rPr>
        <w:t>.</w:t>
      </w:r>
      <w:r w:rsidR="00344586" w:rsidRPr="00344586">
        <w:rPr>
          <w:rFonts w:ascii="Times New Roman" w:eastAsia="方正仿宋_GBK" w:hAnsi="Times New Roman" w:cs="Times New Roman"/>
          <w:sz w:val="32"/>
          <w:szCs w:val="32"/>
        </w:rPr>
        <w:t>规范工程总承包招标。工程建设项目建设范围、建设规模、建设标准、功能需求、投资限额、工程质量、工程进度等前期条件不明确、不充分的，以及预期可能发生优化调整、重大变更等的项目（特别是涉及基础设施建设和社会民生的政府投资工程），一般视为不具备实施工程总承包条件，不宜采用工程总承包方式。依法必须进行招标的工程总承包项目应合理确定最高投标限价（鼓励结合工程特点和市场行情以</w:t>
      </w:r>
      <w:r w:rsidR="00344586">
        <w:rPr>
          <w:rFonts w:ascii="Times New Roman" w:eastAsia="方正仿宋_GBK" w:hAnsi="Times New Roman" w:cs="Times New Roman" w:hint="eastAsia"/>
          <w:sz w:val="32"/>
          <w:szCs w:val="32"/>
        </w:rPr>
        <w:t>投资</w:t>
      </w:r>
      <w:r w:rsidR="00344586">
        <w:rPr>
          <w:rFonts w:ascii="Times New Roman" w:eastAsia="方正仿宋_GBK" w:hAnsi="Times New Roman" w:cs="Times New Roman"/>
          <w:sz w:val="32"/>
          <w:szCs w:val="32"/>
        </w:rPr>
        <w:t>估算</w:t>
      </w:r>
      <w:r w:rsidR="00344586" w:rsidRPr="00344586">
        <w:rPr>
          <w:rFonts w:ascii="Times New Roman" w:eastAsia="方正仿宋_GBK" w:hAnsi="Times New Roman" w:cs="Times New Roman"/>
          <w:sz w:val="32"/>
          <w:szCs w:val="32"/>
        </w:rPr>
        <w:t>或者</w:t>
      </w:r>
      <w:r w:rsidR="00344586">
        <w:rPr>
          <w:rFonts w:ascii="Times New Roman" w:eastAsia="方正仿宋_GBK" w:hAnsi="Times New Roman" w:cs="Times New Roman" w:hint="eastAsia"/>
          <w:sz w:val="32"/>
          <w:szCs w:val="32"/>
        </w:rPr>
        <w:t>初步设计</w:t>
      </w:r>
      <w:r w:rsidR="00344586">
        <w:rPr>
          <w:rFonts w:ascii="Times New Roman" w:eastAsia="方正仿宋_GBK" w:hAnsi="Times New Roman" w:cs="Times New Roman"/>
          <w:sz w:val="32"/>
          <w:szCs w:val="32"/>
        </w:rPr>
        <w:t>概算</w:t>
      </w:r>
      <w:r w:rsidR="00344586" w:rsidRPr="00344586">
        <w:rPr>
          <w:rFonts w:ascii="Times New Roman" w:eastAsia="方正仿宋_GBK" w:hAnsi="Times New Roman" w:cs="Times New Roman"/>
          <w:sz w:val="32"/>
          <w:szCs w:val="32"/>
        </w:rPr>
        <w:t>下浮一定比例），费用组成中应包括与工程总承包相</w:t>
      </w:r>
      <w:r w:rsidR="00344586" w:rsidRPr="00344586">
        <w:rPr>
          <w:rFonts w:ascii="Times New Roman" w:eastAsia="方正仿宋_GBK" w:hAnsi="Times New Roman" w:cs="Times New Roman"/>
          <w:sz w:val="32"/>
          <w:szCs w:val="32"/>
        </w:rPr>
        <w:lastRenderedPageBreak/>
        <w:t>关的设计、施工、设备、管理等费用，均不得高于投资估算、初步设计概算中对应包含的费用。招标人应科学设置评审因素和分值占比，细化方案设计和项目管理组织等评审标准，结合项目实际需要合理配置项目管理机构人员</w:t>
      </w:r>
      <w:r w:rsidR="00344586">
        <w:rPr>
          <w:rFonts w:ascii="Times New Roman" w:eastAsia="方正仿宋_GBK" w:hAnsi="Times New Roman" w:cs="Times New Roman" w:hint="eastAsia"/>
          <w:sz w:val="32"/>
          <w:szCs w:val="32"/>
        </w:rPr>
        <w:t>，</w:t>
      </w:r>
      <w:r w:rsidR="00344586" w:rsidRPr="00344586">
        <w:rPr>
          <w:rFonts w:ascii="Times New Roman" w:eastAsia="方正仿宋_GBK" w:hAnsi="Times New Roman" w:cs="Times New Roman"/>
          <w:sz w:val="32"/>
          <w:szCs w:val="32"/>
        </w:rPr>
        <w:t>并将工程总承包报价作为重要的评审因素</w:t>
      </w:r>
      <w:r w:rsidR="00A25BB8">
        <w:rPr>
          <w:rFonts w:ascii="Times New Roman" w:eastAsia="方正仿宋_GBK" w:hAnsi="Times New Roman" w:cs="Times New Roman" w:hint="eastAsia"/>
          <w:sz w:val="32"/>
          <w:szCs w:val="32"/>
        </w:rPr>
        <w:t>，</w:t>
      </w:r>
      <w:r w:rsidR="00344586" w:rsidRPr="00344586">
        <w:rPr>
          <w:rFonts w:ascii="Times New Roman" w:eastAsia="方正仿宋_GBK" w:hAnsi="Times New Roman" w:cs="Times New Roman"/>
          <w:sz w:val="32"/>
          <w:szCs w:val="32"/>
        </w:rPr>
        <w:t>评审时应重点考察报价与设计、技术措施的衔接，报价必须建立在</w:t>
      </w:r>
      <w:r w:rsidR="00344586">
        <w:rPr>
          <w:rFonts w:ascii="Times New Roman" w:eastAsia="方正仿宋_GBK" w:hAnsi="Times New Roman" w:cs="Times New Roman" w:hint="eastAsia"/>
          <w:sz w:val="32"/>
          <w:szCs w:val="32"/>
        </w:rPr>
        <w:t>方案设计</w:t>
      </w:r>
      <w:r w:rsidR="00344586" w:rsidRPr="00344586">
        <w:rPr>
          <w:rFonts w:ascii="Times New Roman" w:eastAsia="方正仿宋_GBK" w:hAnsi="Times New Roman" w:cs="Times New Roman"/>
          <w:sz w:val="32"/>
          <w:szCs w:val="32"/>
        </w:rPr>
        <w:t>的基础上，避免脱节，确保方案的可实施性。</w:t>
      </w:r>
    </w:p>
    <w:p w:rsidR="00AE6B4E" w:rsidRPr="00E1340A" w:rsidRDefault="00BE33E3"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sidR="00307317" w:rsidRPr="00E1340A">
        <w:rPr>
          <w:rFonts w:ascii="Times New Roman" w:eastAsia="方正仿宋_GBK" w:hAnsi="Times New Roman" w:cs="Times New Roman"/>
          <w:sz w:val="32"/>
          <w:szCs w:val="32"/>
        </w:rPr>
        <w:t>.</w:t>
      </w:r>
      <w:r w:rsidR="00307317" w:rsidRPr="00E1340A">
        <w:rPr>
          <w:rFonts w:ascii="Times New Roman" w:eastAsia="方正仿宋_GBK" w:hAnsi="Times New Roman" w:cs="Times New Roman"/>
          <w:sz w:val="32"/>
          <w:szCs w:val="32"/>
        </w:rPr>
        <w:t>规范</w:t>
      </w:r>
      <w:r w:rsidR="00307317" w:rsidRPr="00E1340A">
        <w:rPr>
          <w:rFonts w:ascii="Times New Roman" w:eastAsia="方正仿宋_GBK" w:hAnsi="Times New Roman" w:cs="Times New Roman" w:hint="eastAsia"/>
          <w:sz w:val="32"/>
          <w:szCs w:val="32"/>
        </w:rPr>
        <w:t>电力</w:t>
      </w:r>
      <w:r w:rsidR="00307317" w:rsidRPr="00E1340A">
        <w:rPr>
          <w:rFonts w:ascii="Times New Roman" w:eastAsia="方正仿宋_GBK" w:hAnsi="Times New Roman" w:cs="Times New Roman"/>
          <w:sz w:val="32"/>
          <w:szCs w:val="32"/>
        </w:rPr>
        <w:t>工程招标。</w:t>
      </w:r>
      <w:r w:rsidR="00307317" w:rsidRPr="00E1340A">
        <w:rPr>
          <w:rFonts w:ascii="Times New Roman" w:eastAsia="方正仿宋_GBK" w:hAnsi="Times New Roman" w:cs="Times New Roman" w:hint="eastAsia"/>
          <w:sz w:val="32"/>
          <w:szCs w:val="32"/>
        </w:rPr>
        <w:t>建设工程项目中</w:t>
      </w:r>
      <w:r w:rsidR="00307317" w:rsidRPr="00E1340A">
        <w:rPr>
          <w:rFonts w:ascii="Times New Roman" w:eastAsia="方正仿宋_GBK" w:hAnsi="Times New Roman" w:cs="Times New Roman"/>
          <w:sz w:val="32"/>
          <w:szCs w:val="32"/>
        </w:rPr>
        <w:t>涉电工程（含杆迁工程、外线接入工程、居配电及</w:t>
      </w:r>
      <w:r w:rsidR="00307317" w:rsidRPr="006C0CFC">
        <w:rPr>
          <w:rFonts w:ascii="Times New Roman" w:eastAsia="方正仿宋_GBK" w:hAnsi="Times New Roman" w:cs="Times New Roman"/>
          <w:sz w:val="32"/>
          <w:szCs w:val="32"/>
        </w:rPr>
        <w:t>用户</w:t>
      </w:r>
      <w:r w:rsidR="002679B8">
        <w:rPr>
          <w:rFonts w:ascii="Times New Roman" w:eastAsia="方正仿宋_GBK" w:hAnsi="Times New Roman" w:cs="Times New Roman" w:hint="eastAsia"/>
          <w:sz w:val="32"/>
          <w:szCs w:val="32"/>
        </w:rPr>
        <w:t>受电</w:t>
      </w:r>
      <w:r w:rsidR="00307317" w:rsidRPr="006C0CFC">
        <w:rPr>
          <w:rFonts w:ascii="Times New Roman" w:eastAsia="方正仿宋_GBK" w:hAnsi="Times New Roman" w:cs="Times New Roman"/>
          <w:sz w:val="32"/>
          <w:szCs w:val="32"/>
        </w:rPr>
        <w:t>工程</w:t>
      </w:r>
      <w:r w:rsidR="00307317" w:rsidRPr="00E1340A">
        <w:rPr>
          <w:rFonts w:ascii="Times New Roman" w:eastAsia="方正仿宋_GBK" w:hAnsi="Times New Roman" w:cs="Times New Roman"/>
          <w:sz w:val="32"/>
          <w:szCs w:val="32"/>
        </w:rPr>
        <w:t>、变电站工程等）</w:t>
      </w:r>
      <w:r w:rsidR="00307317" w:rsidRPr="00E1340A">
        <w:rPr>
          <w:rFonts w:ascii="Times New Roman" w:eastAsia="方正仿宋_GBK" w:hAnsi="Times New Roman" w:cs="Times New Roman" w:hint="eastAsia"/>
          <w:sz w:val="32"/>
          <w:szCs w:val="32"/>
        </w:rPr>
        <w:t>和单独立项的电力工程（不含国网公司出资项目）属于依法必须进行招标的</w:t>
      </w:r>
      <w:r w:rsidR="00307317" w:rsidRPr="00E1340A">
        <w:rPr>
          <w:rFonts w:ascii="Times New Roman" w:eastAsia="方正仿宋_GBK" w:hAnsi="Times New Roman" w:cs="Times New Roman"/>
          <w:sz w:val="32"/>
          <w:szCs w:val="32"/>
        </w:rPr>
        <w:t>，应当进入公共资源交易</w:t>
      </w:r>
      <w:r w:rsidR="00307317" w:rsidRPr="00E1340A">
        <w:rPr>
          <w:rFonts w:ascii="Times New Roman" w:eastAsia="方正仿宋_GBK" w:hAnsi="Times New Roman" w:cs="Times New Roman" w:hint="eastAsia"/>
          <w:sz w:val="32"/>
          <w:szCs w:val="32"/>
        </w:rPr>
        <w:t>平台</w:t>
      </w:r>
      <w:r w:rsidR="00307317" w:rsidRPr="00E1340A">
        <w:rPr>
          <w:rFonts w:ascii="Times New Roman" w:eastAsia="方正仿宋_GBK" w:hAnsi="Times New Roman" w:cs="Times New Roman"/>
          <w:sz w:val="32"/>
          <w:szCs w:val="32"/>
        </w:rPr>
        <w:t>招标，招标投标活动执行现行法律法规和</w:t>
      </w:r>
      <w:r w:rsidR="00307317">
        <w:rPr>
          <w:rFonts w:ascii="Times New Roman" w:eastAsia="方正仿宋_GBK" w:hAnsi="Times New Roman" w:cs="Times New Roman" w:hint="eastAsia"/>
          <w:sz w:val="32"/>
          <w:szCs w:val="32"/>
        </w:rPr>
        <w:t>建设行政主管部门相关</w:t>
      </w:r>
      <w:r w:rsidR="00307317" w:rsidRPr="00E1340A">
        <w:rPr>
          <w:rFonts w:ascii="Times New Roman" w:eastAsia="方正仿宋_GBK" w:hAnsi="Times New Roman" w:cs="Times New Roman"/>
          <w:sz w:val="32"/>
          <w:szCs w:val="32"/>
        </w:rPr>
        <w:t>规定。</w:t>
      </w:r>
      <w:r w:rsidR="002679B8">
        <w:rPr>
          <w:rFonts w:ascii="Times New Roman" w:eastAsia="方正仿宋_GBK" w:hAnsi="Times New Roman" w:cs="Times New Roman" w:hint="eastAsia"/>
          <w:sz w:val="32"/>
          <w:szCs w:val="32"/>
        </w:rPr>
        <w:t xml:space="preserve">  </w:t>
      </w:r>
    </w:p>
    <w:p w:rsidR="00B33249" w:rsidRDefault="00307317"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sz w:val="32"/>
          <w:szCs w:val="32"/>
        </w:rPr>
        <w:t>特大型电力工程是指施工单项合同估算价在</w:t>
      </w:r>
      <w:r>
        <w:rPr>
          <w:rFonts w:ascii="Times New Roman" w:eastAsia="方正仿宋_GBK" w:hAnsi="Times New Roman" w:cs="Times New Roman"/>
          <w:sz w:val="32"/>
          <w:szCs w:val="32"/>
        </w:rPr>
        <w:t>2000</w:t>
      </w:r>
      <w:r>
        <w:rPr>
          <w:rFonts w:ascii="Times New Roman" w:eastAsia="方正仿宋_GBK" w:hAnsi="Times New Roman" w:cs="Times New Roman"/>
          <w:sz w:val="32"/>
          <w:szCs w:val="32"/>
        </w:rPr>
        <w:t>万元（含）以上的；大型是指施工单项合同估算价</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万元（含）</w:t>
      </w:r>
      <w:r>
        <w:rPr>
          <w:rFonts w:ascii="Times New Roman" w:eastAsia="方正仿宋_GBK" w:hAnsi="Times New Roman" w:cs="Times New Roman"/>
          <w:sz w:val="32"/>
          <w:szCs w:val="32"/>
        </w:rPr>
        <w:t>−2000</w:t>
      </w:r>
      <w:r>
        <w:rPr>
          <w:rFonts w:ascii="Times New Roman" w:eastAsia="方正仿宋_GBK" w:hAnsi="Times New Roman" w:cs="Times New Roman"/>
          <w:sz w:val="32"/>
          <w:szCs w:val="32"/>
        </w:rPr>
        <w:t>万元的；中型是指施工单项合同估算价</w:t>
      </w:r>
      <w:r>
        <w:rPr>
          <w:rFonts w:ascii="Times New Roman" w:eastAsia="方正仿宋_GBK" w:hAnsi="Times New Roman" w:cs="Times New Roman"/>
          <w:sz w:val="32"/>
          <w:szCs w:val="32"/>
        </w:rPr>
        <w:t>400</w:t>
      </w:r>
      <w:r>
        <w:rPr>
          <w:rFonts w:ascii="Times New Roman" w:eastAsia="方正仿宋_GBK" w:hAnsi="Times New Roman" w:cs="Times New Roman"/>
          <w:sz w:val="32"/>
          <w:szCs w:val="32"/>
        </w:rPr>
        <w:t>万元（含）</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万元的；小型是指中型规模以下工程。</w:t>
      </w:r>
    </w:p>
    <w:p w:rsidR="00B33249" w:rsidRDefault="00307317" w:rsidP="00F72FA5">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技术复杂的电力工程包括杆线迁移工程、</w:t>
      </w:r>
      <w:r>
        <w:rPr>
          <w:rFonts w:ascii="Times New Roman" w:eastAsia="方正仿宋_GBK" w:hAnsi="Times New Roman" w:cs="Times New Roman"/>
          <w:sz w:val="32"/>
          <w:szCs w:val="32"/>
        </w:rPr>
        <w:t>110kV</w:t>
      </w:r>
      <w:r>
        <w:rPr>
          <w:rFonts w:ascii="Times New Roman" w:eastAsia="方正仿宋_GBK" w:hAnsi="Times New Roman" w:cs="Times New Roman"/>
          <w:sz w:val="32"/>
          <w:szCs w:val="32"/>
        </w:rPr>
        <w:t>以上高压工程、变电站工程、电力沉井顶管工程、电力管廊工程、盾构工程等</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以及经</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名以上专家论证确定的其他有特殊专业技术要求的电力工程。</w:t>
      </w:r>
    </w:p>
    <w:p w:rsidR="00B33249" w:rsidRDefault="00BE33E3"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7</w:t>
      </w:r>
      <w:r w:rsidR="00307317" w:rsidRPr="00E1340A">
        <w:rPr>
          <w:rFonts w:ascii="Times New Roman" w:eastAsia="方正仿宋_GBK" w:hAnsi="Times New Roman" w:cs="Times New Roman" w:hint="eastAsia"/>
          <w:sz w:val="32"/>
          <w:szCs w:val="32"/>
        </w:rPr>
        <w:t>.</w:t>
      </w:r>
      <w:r w:rsidR="00307317" w:rsidRPr="00E1340A">
        <w:rPr>
          <w:rFonts w:ascii="Times New Roman" w:eastAsia="方正仿宋_GBK" w:hAnsi="Times New Roman" w:cs="Times New Roman" w:hint="eastAsia"/>
          <w:sz w:val="32"/>
          <w:szCs w:val="32"/>
        </w:rPr>
        <w:t>规范</w:t>
      </w:r>
      <w:r w:rsidR="00307317" w:rsidRPr="00E1340A">
        <w:rPr>
          <w:rFonts w:ascii="Times New Roman" w:eastAsia="方正仿宋_GBK" w:hAnsi="Times New Roman" w:cs="Times New Roman"/>
          <w:sz w:val="32"/>
          <w:szCs w:val="32"/>
        </w:rPr>
        <w:t>工程货物</w:t>
      </w:r>
      <w:r w:rsidR="00307317" w:rsidRPr="00E1340A">
        <w:rPr>
          <w:rFonts w:ascii="Times New Roman" w:eastAsia="方正仿宋_GBK" w:hAnsi="Times New Roman" w:cs="Times New Roman" w:hint="eastAsia"/>
          <w:sz w:val="32"/>
          <w:szCs w:val="32"/>
        </w:rPr>
        <w:t>招标</w:t>
      </w:r>
      <w:r w:rsidR="00307317" w:rsidRPr="00E1340A">
        <w:rPr>
          <w:rFonts w:ascii="Times New Roman" w:eastAsia="方正仿宋_GBK" w:hAnsi="Times New Roman" w:cs="Times New Roman"/>
          <w:sz w:val="32"/>
          <w:szCs w:val="32"/>
        </w:rPr>
        <w:t>。</w:t>
      </w:r>
      <w:r w:rsidR="00307317">
        <w:rPr>
          <w:rFonts w:ascii="Times New Roman" w:eastAsia="方正仿宋_GBK" w:hAnsi="Times New Roman" w:cs="Times New Roman"/>
          <w:sz w:val="32"/>
          <w:szCs w:val="32"/>
        </w:rPr>
        <w:t>房屋建筑和市政基础设施工程</w:t>
      </w:r>
      <w:r w:rsidR="00307317">
        <w:rPr>
          <w:rFonts w:ascii="Times New Roman" w:eastAsia="方正仿宋_GBK" w:hAnsi="Times New Roman" w:cs="Times New Roman" w:hint="eastAsia"/>
          <w:sz w:val="32"/>
          <w:szCs w:val="32"/>
        </w:rPr>
        <w:t>中</w:t>
      </w:r>
      <w:r w:rsidR="00307317">
        <w:rPr>
          <w:rFonts w:ascii="Times New Roman" w:eastAsia="方正仿宋_GBK" w:hAnsi="Times New Roman" w:cs="Times New Roman"/>
          <w:sz w:val="32"/>
          <w:szCs w:val="32"/>
        </w:rPr>
        <w:t>货物招标（与工程有关的重要设备、材料等），</w:t>
      </w:r>
      <w:r w:rsidR="00307317">
        <w:rPr>
          <w:rFonts w:ascii="Times New Roman" w:eastAsia="方正仿宋_GBK" w:hAnsi="Times New Roman" w:cs="Times New Roman" w:hint="eastAsia"/>
          <w:sz w:val="32"/>
          <w:szCs w:val="32"/>
        </w:rPr>
        <w:t>必须提出货物的使用</w:t>
      </w:r>
      <w:r w:rsidR="00307317">
        <w:rPr>
          <w:rFonts w:ascii="Times New Roman" w:eastAsia="方正仿宋_GBK" w:hAnsi="Times New Roman" w:cs="Times New Roman" w:hint="eastAsia"/>
          <w:sz w:val="32"/>
          <w:szCs w:val="32"/>
        </w:rPr>
        <w:lastRenderedPageBreak/>
        <w:t>与技术要求方可开展，可以采用资格预审或者资格后审方式</w:t>
      </w:r>
      <w:r w:rsidR="00307317" w:rsidRPr="00C66C22">
        <w:rPr>
          <w:rFonts w:ascii="Times New Roman" w:eastAsia="方正仿宋_GBK" w:hAnsi="Times New Roman" w:cs="Times New Roman" w:hint="eastAsia"/>
          <w:sz w:val="32"/>
          <w:szCs w:val="32"/>
        </w:rPr>
        <w:t>，</w:t>
      </w:r>
      <w:r w:rsidR="00AE6B4E" w:rsidRPr="00C66C22">
        <w:rPr>
          <w:rFonts w:ascii="Times New Roman" w:eastAsia="方正仿宋_GBK" w:hAnsi="Times New Roman" w:cs="Times New Roman" w:hint="eastAsia"/>
          <w:sz w:val="32"/>
          <w:szCs w:val="32"/>
        </w:rPr>
        <w:t>原则上单项合同估算价</w:t>
      </w:r>
      <w:r w:rsidR="00AE6B4E" w:rsidRPr="00C66C22">
        <w:rPr>
          <w:rFonts w:ascii="Times New Roman" w:eastAsia="方正仿宋_GBK" w:hAnsi="Times New Roman" w:cs="Times New Roman" w:hint="eastAsia"/>
          <w:sz w:val="32"/>
          <w:szCs w:val="32"/>
        </w:rPr>
        <w:t>1000</w:t>
      </w:r>
      <w:r w:rsidR="00AE6B4E" w:rsidRPr="00C66C22">
        <w:rPr>
          <w:rFonts w:ascii="Times New Roman" w:eastAsia="方正仿宋_GBK" w:hAnsi="Times New Roman" w:cs="Times New Roman" w:hint="eastAsia"/>
          <w:sz w:val="32"/>
          <w:szCs w:val="32"/>
        </w:rPr>
        <w:t>万元以上的方可采用有限数量制资格预审</w:t>
      </w:r>
      <w:r w:rsidR="00307317">
        <w:rPr>
          <w:rFonts w:ascii="Times New Roman" w:eastAsia="方正仿宋_GBK" w:hAnsi="Times New Roman" w:cs="Times New Roman" w:hint="eastAsia"/>
          <w:sz w:val="32"/>
          <w:szCs w:val="32"/>
        </w:rPr>
        <w:t>。招标人不宜对资格审查条件中类似业绩的数量提出要求，不得在招标公告和招标文件中将</w:t>
      </w:r>
      <w:r w:rsidR="00307317" w:rsidRPr="00AE6B4E">
        <w:rPr>
          <w:rFonts w:ascii="Times New Roman" w:eastAsia="方正仿宋_GBK" w:hAnsi="Times New Roman" w:cs="Times New Roman" w:hint="eastAsia"/>
          <w:sz w:val="32"/>
          <w:szCs w:val="32"/>
        </w:rPr>
        <w:t>建筑业</w:t>
      </w:r>
      <w:r w:rsidR="00307317">
        <w:rPr>
          <w:rFonts w:ascii="Times New Roman" w:eastAsia="方正仿宋_GBK" w:hAnsi="Times New Roman" w:cs="Times New Roman" w:hint="eastAsia"/>
          <w:sz w:val="32"/>
          <w:szCs w:val="32"/>
        </w:rPr>
        <w:t>施工资质和建造师资格作为资格条件或者打分因素。</w:t>
      </w:r>
    </w:p>
    <w:p w:rsidR="00C66C22" w:rsidRPr="00692F1C" w:rsidRDefault="00C66C22" w:rsidP="00F72FA5">
      <w:pPr>
        <w:spacing w:line="580" w:lineRule="exact"/>
        <w:ind w:firstLine="624"/>
        <w:rPr>
          <w:rFonts w:ascii="Times New Roman" w:eastAsia="方正仿宋_GBK" w:hAnsi="Times New Roman" w:cs="Times New Roman"/>
          <w:sz w:val="32"/>
          <w:szCs w:val="32"/>
        </w:rPr>
      </w:pPr>
      <w:r w:rsidRPr="00692F1C">
        <w:rPr>
          <w:rFonts w:ascii="Times New Roman" w:eastAsia="方正仿宋_GBK" w:hAnsi="Times New Roman" w:cs="Times New Roman" w:hint="eastAsia"/>
          <w:sz w:val="32"/>
          <w:szCs w:val="32"/>
        </w:rPr>
        <w:t>采用有限数量制资格预审的货物招标，招标人根据项目实际需要，可以设置财务要求</w:t>
      </w:r>
      <w:r w:rsidR="003C55E4" w:rsidRPr="00692F1C">
        <w:rPr>
          <w:rFonts w:ascii="Times New Roman" w:eastAsia="方正仿宋_GBK" w:hAnsi="Times New Roman" w:cs="Times New Roman" w:hint="eastAsia"/>
          <w:sz w:val="32"/>
          <w:szCs w:val="32"/>
        </w:rPr>
        <w:t>（</w:t>
      </w:r>
      <w:r w:rsidR="003C55E4" w:rsidRPr="00692F1C">
        <w:rPr>
          <w:rFonts w:ascii="Times New Roman" w:eastAsia="方正仿宋_GBK" w:hAnsi="Times New Roman" w:cs="Times New Roman"/>
          <w:sz w:val="32"/>
          <w:szCs w:val="32"/>
        </w:rPr>
        <w:t>不可设置差异性得分</w:t>
      </w:r>
      <w:r w:rsidR="003C55E4" w:rsidRPr="00692F1C">
        <w:rPr>
          <w:rFonts w:ascii="Times New Roman" w:eastAsia="方正仿宋_GBK" w:hAnsi="Times New Roman" w:cs="Times New Roman" w:hint="eastAsia"/>
          <w:sz w:val="32"/>
          <w:szCs w:val="32"/>
        </w:rPr>
        <w:t>）</w:t>
      </w:r>
      <w:r w:rsidRPr="00692F1C">
        <w:rPr>
          <w:rFonts w:ascii="Times New Roman" w:eastAsia="方正仿宋_GBK" w:hAnsi="Times New Roman" w:cs="Times New Roman" w:hint="eastAsia"/>
          <w:sz w:val="32"/>
          <w:szCs w:val="32"/>
        </w:rPr>
        <w:t>、企业信誉、认证体系</w:t>
      </w:r>
      <w:r w:rsidR="003C55E4" w:rsidRPr="00692F1C">
        <w:rPr>
          <w:rFonts w:ascii="Times New Roman" w:eastAsia="方正仿宋_GBK" w:hAnsi="Times New Roman" w:cs="Times New Roman" w:hint="eastAsia"/>
          <w:sz w:val="32"/>
          <w:szCs w:val="32"/>
        </w:rPr>
        <w:t>（管理体系认证、强制性认证等）</w:t>
      </w:r>
      <w:r w:rsidRPr="00692F1C">
        <w:rPr>
          <w:rFonts w:ascii="Times New Roman" w:eastAsia="方正仿宋_GBK" w:hAnsi="Times New Roman" w:cs="Times New Roman" w:hint="eastAsia"/>
          <w:sz w:val="32"/>
          <w:szCs w:val="32"/>
        </w:rPr>
        <w:t>、类似业绩、项目负责人答辩（分值占比不超过</w:t>
      </w:r>
      <w:r w:rsidRPr="00692F1C">
        <w:rPr>
          <w:rFonts w:ascii="Times New Roman" w:eastAsia="方正仿宋_GBK" w:hAnsi="Times New Roman" w:cs="Times New Roman" w:hint="eastAsia"/>
          <w:sz w:val="32"/>
          <w:szCs w:val="32"/>
        </w:rPr>
        <w:t>15%</w:t>
      </w:r>
      <w:r w:rsidRPr="00692F1C">
        <w:rPr>
          <w:rFonts w:ascii="Times New Roman" w:eastAsia="方正仿宋_GBK" w:hAnsi="Times New Roman" w:cs="Times New Roman" w:hint="eastAsia"/>
          <w:sz w:val="32"/>
          <w:szCs w:val="32"/>
        </w:rPr>
        <w:t>）</w:t>
      </w:r>
      <w:r w:rsidR="00723D1A" w:rsidRPr="00692F1C">
        <w:rPr>
          <w:rFonts w:ascii="Times New Roman" w:eastAsia="方正仿宋_GBK" w:hAnsi="Times New Roman" w:cs="Times New Roman" w:hint="eastAsia"/>
          <w:sz w:val="32"/>
          <w:szCs w:val="32"/>
        </w:rPr>
        <w:t>等</w:t>
      </w:r>
      <w:r w:rsidRPr="00692F1C">
        <w:rPr>
          <w:rFonts w:ascii="Times New Roman" w:eastAsia="方正仿宋_GBK" w:hAnsi="Times New Roman" w:cs="Times New Roman" w:hint="eastAsia"/>
          <w:sz w:val="32"/>
          <w:szCs w:val="32"/>
        </w:rPr>
        <w:t>作为资格审查因素。</w:t>
      </w:r>
    </w:p>
    <w:p w:rsidR="00B33249" w:rsidRDefault="00307317"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sz w:val="32"/>
          <w:szCs w:val="32"/>
        </w:rPr>
        <w:t>重要设备包括与工程建设同步设计、同步施工的电梯、电气、防火消防、暖通、给排水、电子与智能化等。重要材料包括钢结构、钢筋、预拌混凝土、水泥、混凝土预制构件、涂料、石材等。</w:t>
      </w:r>
    </w:p>
    <w:p w:rsidR="00B33249" w:rsidRPr="00E1340A" w:rsidRDefault="00BE33E3"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8</w:t>
      </w:r>
      <w:r w:rsidR="00307317">
        <w:rPr>
          <w:rFonts w:ascii="Times New Roman" w:eastAsia="方正仿宋_GBK" w:hAnsi="Times New Roman" w:cs="Times New Roman" w:hint="eastAsia"/>
          <w:sz w:val="32"/>
          <w:szCs w:val="32"/>
        </w:rPr>
        <w:t>.</w:t>
      </w:r>
      <w:r w:rsidR="00307317">
        <w:rPr>
          <w:rFonts w:ascii="Times New Roman" w:eastAsia="方正仿宋_GBK" w:hAnsi="Times New Roman" w:cs="Times New Roman" w:hint="eastAsia"/>
          <w:sz w:val="32"/>
          <w:szCs w:val="32"/>
        </w:rPr>
        <w:t>规范</w:t>
      </w:r>
      <w:r w:rsidR="00307317">
        <w:rPr>
          <w:rFonts w:ascii="Times New Roman" w:eastAsia="方正仿宋_GBK" w:hAnsi="Times New Roman" w:cs="Times New Roman"/>
          <w:sz w:val="32"/>
          <w:szCs w:val="32"/>
        </w:rPr>
        <w:t>拆除</w:t>
      </w:r>
      <w:r w:rsidR="00307317">
        <w:rPr>
          <w:rFonts w:ascii="Times New Roman" w:eastAsia="方正仿宋_GBK" w:hAnsi="Times New Roman" w:cs="Times New Roman" w:hint="eastAsia"/>
          <w:sz w:val="32"/>
          <w:szCs w:val="32"/>
        </w:rPr>
        <w:t>工程招标</w:t>
      </w:r>
      <w:r w:rsidR="00307317">
        <w:rPr>
          <w:rFonts w:ascii="Times New Roman" w:eastAsia="方正仿宋_GBK" w:hAnsi="Times New Roman" w:cs="Times New Roman"/>
          <w:sz w:val="32"/>
          <w:szCs w:val="32"/>
        </w:rPr>
        <w:t>。国有资金投资的施工单项合同估算价在</w:t>
      </w:r>
      <w:r w:rsidR="00307317">
        <w:rPr>
          <w:rFonts w:ascii="Times New Roman" w:eastAsia="方正仿宋_GBK" w:hAnsi="Times New Roman" w:cs="Times New Roman"/>
          <w:sz w:val="32"/>
          <w:szCs w:val="32"/>
        </w:rPr>
        <w:t>400</w:t>
      </w:r>
      <w:r w:rsidR="00307317">
        <w:rPr>
          <w:rFonts w:ascii="Times New Roman" w:eastAsia="方正仿宋_GBK" w:hAnsi="Times New Roman" w:cs="Times New Roman"/>
          <w:sz w:val="32"/>
          <w:szCs w:val="32"/>
        </w:rPr>
        <w:t>万元以上的拆除工程（抵扣回收费用不包括在内），应当进入公共资源交易</w:t>
      </w:r>
      <w:r w:rsidR="00307317">
        <w:rPr>
          <w:rFonts w:ascii="Times New Roman" w:eastAsia="方正仿宋_GBK" w:hAnsi="Times New Roman" w:cs="Times New Roman" w:hint="eastAsia"/>
          <w:sz w:val="32"/>
          <w:szCs w:val="32"/>
        </w:rPr>
        <w:t>平台</w:t>
      </w:r>
      <w:r w:rsidR="00307317">
        <w:rPr>
          <w:rFonts w:ascii="Times New Roman" w:eastAsia="方正仿宋_GBK" w:hAnsi="Times New Roman" w:cs="Times New Roman"/>
          <w:sz w:val="32"/>
          <w:szCs w:val="32"/>
        </w:rPr>
        <w:t>依法招标</w:t>
      </w:r>
      <w:r w:rsidR="00307317">
        <w:rPr>
          <w:rFonts w:ascii="Times New Roman" w:eastAsia="方正仿宋_GBK" w:hAnsi="Times New Roman" w:cs="Times New Roman" w:hint="eastAsia"/>
          <w:sz w:val="32"/>
          <w:szCs w:val="32"/>
        </w:rPr>
        <w:t>。</w:t>
      </w:r>
      <w:r w:rsidR="00307317">
        <w:rPr>
          <w:rFonts w:ascii="Times New Roman" w:eastAsia="方正仿宋_GBK" w:hAnsi="Times New Roman" w:cs="Times New Roman"/>
          <w:sz w:val="32"/>
          <w:szCs w:val="32"/>
        </w:rPr>
        <w:t>按照《南京市建筑垃圾</w:t>
      </w:r>
      <w:r w:rsidR="00307317">
        <w:rPr>
          <w:rFonts w:ascii="Times New Roman" w:eastAsia="方正仿宋_GBK" w:hAnsi="Times New Roman" w:cs="Times New Roman" w:hint="eastAsia"/>
          <w:sz w:val="32"/>
          <w:szCs w:val="32"/>
        </w:rPr>
        <w:t>“</w:t>
      </w:r>
      <w:r w:rsidR="00307317">
        <w:rPr>
          <w:rFonts w:ascii="Times New Roman" w:eastAsia="方正仿宋_GBK" w:hAnsi="Times New Roman" w:cs="Times New Roman"/>
          <w:sz w:val="32"/>
          <w:szCs w:val="32"/>
        </w:rPr>
        <w:t>一件事</w:t>
      </w:r>
      <w:r w:rsidR="00307317">
        <w:rPr>
          <w:rFonts w:ascii="Times New Roman" w:eastAsia="方正仿宋_GBK" w:hAnsi="Times New Roman" w:cs="Times New Roman" w:hint="eastAsia"/>
          <w:sz w:val="32"/>
          <w:szCs w:val="32"/>
        </w:rPr>
        <w:t>”</w:t>
      </w:r>
      <w:r w:rsidR="00307317">
        <w:rPr>
          <w:rFonts w:ascii="Times New Roman" w:eastAsia="方正仿宋_GBK" w:hAnsi="Times New Roman" w:cs="Times New Roman"/>
          <w:sz w:val="32"/>
          <w:szCs w:val="32"/>
        </w:rPr>
        <w:t>全链条管理实施方案》（宁政传〔</w:t>
      </w:r>
      <w:r w:rsidR="00307317">
        <w:rPr>
          <w:rFonts w:ascii="Times New Roman" w:eastAsia="方正仿宋_GBK" w:hAnsi="Times New Roman" w:cs="Times New Roman"/>
          <w:sz w:val="32"/>
          <w:szCs w:val="32"/>
        </w:rPr>
        <w:t>2024</w:t>
      </w:r>
      <w:r w:rsidR="00307317">
        <w:rPr>
          <w:rFonts w:ascii="Times New Roman" w:eastAsia="方正仿宋_GBK" w:hAnsi="Times New Roman" w:cs="Times New Roman"/>
          <w:sz w:val="32"/>
          <w:szCs w:val="32"/>
        </w:rPr>
        <w:t>〕</w:t>
      </w:r>
      <w:r w:rsidR="00307317">
        <w:rPr>
          <w:rFonts w:ascii="Times New Roman" w:eastAsia="方正仿宋_GBK" w:hAnsi="Times New Roman" w:cs="Times New Roman"/>
          <w:sz w:val="32"/>
          <w:szCs w:val="32"/>
        </w:rPr>
        <w:t>11</w:t>
      </w:r>
      <w:r w:rsidR="00307317">
        <w:rPr>
          <w:rFonts w:ascii="Times New Roman" w:eastAsia="方正仿宋_GBK" w:hAnsi="Times New Roman" w:cs="Times New Roman"/>
          <w:sz w:val="32"/>
          <w:szCs w:val="32"/>
        </w:rPr>
        <w:t>号）规定</w:t>
      </w:r>
      <w:r w:rsidR="00307317">
        <w:rPr>
          <w:rFonts w:ascii="Times New Roman" w:eastAsia="方正仿宋_GBK" w:hAnsi="Times New Roman" w:cs="Times New Roman" w:hint="eastAsia"/>
          <w:sz w:val="32"/>
          <w:szCs w:val="32"/>
        </w:rPr>
        <w:t>，鼓励招标人将建筑垃圾资源化利用纳入拆除工程，优先发包给具有建筑垃圾资源化处置能力的拆除工程施工单位、已与</w:t>
      </w:r>
      <w:r w:rsidR="00D72B07" w:rsidRPr="006C0CFC">
        <w:rPr>
          <w:rFonts w:ascii="Times New Roman" w:eastAsia="方正仿宋_GBK" w:hAnsi="Times New Roman" w:cs="Times New Roman" w:hint="eastAsia"/>
          <w:sz w:val="32"/>
          <w:szCs w:val="32"/>
        </w:rPr>
        <w:t>具有</w:t>
      </w:r>
      <w:r w:rsidR="00307317">
        <w:rPr>
          <w:rFonts w:ascii="Times New Roman" w:eastAsia="方正仿宋_GBK" w:hAnsi="Times New Roman" w:cs="Times New Roman" w:hint="eastAsia"/>
          <w:sz w:val="32"/>
          <w:szCs w:val="32"/>
        </w:rPr>
        <w:t>建筑垃圾资源化处置能力的单位签订意向性合作协议书的拆除工程施工单位</w:t>
      </w:r>
      <w:r w:rsidR="00307317" w:rsidRPr="00692F1C">
        <w:rPr>
          <w:rFonts w:ascii="Times New Roman" w:eastAsia="方正仿宋_GBK" w:hAnsi="Times New Roman" w:cs="Times New Roman" w:hint="eastAsia"/>
          <w:sz w:val="32"/>
          <w:szCs w:val="32"/>
        </w:rPr>
        <w:t>或者由建筑垃圾资源化处置单位和拆除工程施工单位组成的联合体</w:t>
      </w:r>
      <w:r w:rsidR="00307317">
        <w:rPr>
          <w:rFonts w:ascii="Times New Roman" w:eastAsia="方正仿宋_GBK" w:hAnsi="Times New Roman" w:cs="Times New Roman" w:hint="eastAsia"/>
          <w:sz w:val="32"/>
          <w:szCs w:val="32"/>
        </w:rPr>
        <w:t>。</w:t>
      </w:r>
    </w:p>
    <w:p w:rsidR="00B33249" w:rsidRDefault="00BE33E3" w:rsidP="00F72FA5">
      <w:pPr>
        <w:tabs>
          <w:tab w:val="left" w:pos="312"/>
        </w:tabs>
        <w:spacing w:line="580" w:lineRule="exact"/>
        <w:ind w:firstLineChars="200" w:firstLine="640"/>
        <w:rPr>
          <w:rFonts w:ascii="Times New Roman" w:eastAsia="方正仿宋_GBK" w:hAnsi="Times New Roman" w:cs="Times New Roman"/>
          <w:sz w:val="32"/>
          <w:szCs w:val="32"/>
        </w:rPr>
      </w:pPr>
      <w:bookmarkStart w:id="0" w:name="_GoBack"/>
      <w:bookmarkEnd w:id="0"/>
      <w:r>
        <w:rPr>
          <w:rFonts w:ascii="Times New Roman" w:eastAsia="方正仿宋_GBK" w:hAnsi="Times New Roman" w:cs="Times New Roman" w:hint="eastAsia"/>
          <w:sz w:val="32"/>
          <w:szCs w:val="32"/>
        </w:rPr>
        <w:lastRenderedPageBreak/>
        <w:t>9</w:t>
      </w:r>
      <w:r w:rsidR="00AE6B4E">
        <w:rPr>
          <w:rFonts w:ascii="Times New Roman" w:eastAsia="方正仿宋_GBK" w:hAnsi="Times New Roman" w:cs="Times New Roman" w:hint="eastAsia"/>
          <w:sz w:val="32"/>
          <w:szCs w:val="32"/>
        </w:rPr>
        <w:t>.</w:t>
      </w:r>
      <w:r w:rsidR="00307317">
        <w:rPr>
          <w:rFonts w:ascii="Times New Roman" w:eastAsia="方正仿宋_GBK" w:hAnsi="Times New Roman" w:cs="Times New Roman" w:hint="eastAsia"/>
          <w:sz w:val="32"/>
          <w:szCs w:val="32"/>
        </w:rPr>
        <w:t>规范文物保护工程招标。</w:t>
      </w:r>
      <w:r w:rsidR="00307317">
        <w:rPr>
          <w:rFonts w:ascii="Times New Roman" w:eastAsia="方正仿宋_GBK" w:hAnsi="Times New Roman" w:cs="Times New Roman"/>
          <w:sz w:val="32"/>
          <w:szCs w:val="32"/>
        </w:rPr>
        <w:t>文物保护工程</w:t>
      </w:r>
      <w:r w:rsidR="00307317">
        <w:rPr>
          <w:rFonts w:ascii="Times New Roman" w:eastAsia="方正仿宋_GBK" w:hAnsi="Times New Roman" w:cs="Times New Roman" w:hint="eastAsia"/>
          <w:sz w:val="32"/>
          <w:szCs w:val="32"/>
        </w:rPr>
        <w:t>的加固、修缮、迁移等</w:t>
      </w:r>
      <w:r w:rsidR="00307317">
        <w:rPr>
          <w:rFonts w:ascii="Times New Roman" w:eastAsia="方正仿宋_GBK" w:hAnsi="Times New Roman" w:cs="Times New Roman"/>
          <w:sz w:val="32"/>
          <w:szCs w:val="32"/>
        </w:rPr>
        <w:t>属于具有特殊专业技术要求的工程，文物保护工程定性为</w:t>
      </w:r>
      <w:r w:rsidR="00307317">
        <w:rPr>
          <w:rFonts w:ascii="Times New Roman" w:eastAsia="方正仿宋_GBK" w:hAnsi="Times New Roman" w:cs="Times New Roman"/>
          <w:sz w:val="32"/>
          <w:szCs w:val="32"/>
        </w:rPr>
        <w:t>“</w:t>
      </w:r>
      <w:r w:rsidR="00307317">
        <w:rPr>
          <w:rFonts w:ascii="Times New Roman" w:eastAsia="方正仿宋_GBK" w:hAnsi="Times New Roman" w:cs="Times New Roman"/>
          <w:sz w:val="32"/>
          <w:szCs w:val="32"/>
        </w:rPr>
        <w:t>技术复杂工程</w:t>
      </w:r>
      <w:r w:rsidR="00307317">
        <w:rPr>
          <w:rFonts w:ascii="Times New Roman" w:eastAsia="方正仿宋_GBK" w:hAnsi="Times New Roman" w:cs="Times New Roman"/>
          <w:sz w:val="32"/>
          <w:szCs w:val="32"/>
        </w:rPr>
        <w:t>”</w:t>
      </w:r>
      <w:r w:rsidR="00307317">
        <w:rPr>
          <w:rFonts w:ascii="Times New Roman" w:eastAsia="方正仿宋_GBK" w:hAnsi="Times New Roman" w:cs="Times New Roman"/>
          <w:sz w:val="32"/>
          <w:szCs w:val="32"/>
        </w:rPr>
        <w:t>，</w:t>
      </w:r>
      <w:r w:rsidR="00307317">
        <w:rPr>
          <w:rFonts w:ascii="Times New Roman" w:eastAsia="方正仿宋_GBK" w:hAnsi="Times New Roman" w:cs="Times New Roman" w:hint="eastAsia"/>
          <w:sz w:val="32"/>
          <w:szCs w:val="32"/>
        </w:rPr>
        <w:t>可以按照</w:t>
      </w:r>
      <w:r w:rsidR="00307317">
        <w:rPr>
          <w:rFonts w:ascii="Times New Roman" w:eastAsia="方正仿宋_GBK" w:hAnsi="Times New Roman" w:cs="Times New Roman"/>
          <w:sz w:val="32"/>
          <w:szCs w:val="32"/>
        </w:rPr>
        <w:t>技术复杂工程</w:t>
      </w:r>
      <w:r w:rsidR="00307317">
        <w:rPr>
          <w:rFonts w:ascii="Times New Roman" w:eastAsia="方正仿宋_GBK" w:hAnsi="Times New Roman" w:cs="Times New Roman" w:hint="eastAsia"/>
          <w:sz w:val="32"/>
          <w:szCs w:val="32"/>
        </w:rPr>
        <w:t>设置类似业绩资格审查条件及</w:t>
      </w:r>
      <w:r w:rsidR="00307317">
        <w:rPr>
          <w:rFonts w:ascii="Times New Roman" w:eastAsia="方正仿宋_GBK" w:hAnsi="Times New Roman" w:cs="Times New Roman"/>
          <w:sz w:val="32"/>
          <w:szCs w:val="32"/>
        </w:rPr>
        <w:t>采用综合</w:t>
      </w:r>
      <w:r w:rsidR="00307317">
        <w:rPr>
          <w:rFonts w:ascii="Times New Roman" w:eastAsia="方正仿宋_GBK" w:hAnsi="Times New Roman" w:cs="Times New Roman" w:hint="eastAsia"/>
          <w:sz w:val="32"/>
          <w:szCs w:val="32"/>
        </w:rPr>
        <w:t>评估</w:t>
      </w:r>
      <w:r w:rsidR="00307317">
        <w:rPr>
          <w:rFonts w:ascii="Times New Roman" w:eastAsia="方正仿宋_GBK" w:hAnsi="Times New Roman" w:cs="Times New Roman"/>
          <w:sz w:val="32"/>
          <w:szCs w:val="32"/>
        </w:rPr>
        <w:t>法</w:t>
      </w:r>
      <w:r w:rsidR="00307317">
        <w:rPr>
          <w:rFonts w:ascii="Times New Roman" w:eastAsia="方正仿宋_GBK" w:hAnsi="Times New Roman" w:cs="Times New Roman" w:hint="eastAsia"/>
          <w:sz w:val="32"/>
          <w:szCs w:val="32"/>
        </w:rPr>
        <w:t>评标办法</w:t>
      </w:r>
      <w:r w:rsidR="00AE6B4E">
        <w:rPr>
          <w:rFonts w:ascii="Times New Roman" w:eastAsia="方正仿宋_GBK" w:hAnsi="Times New Roman" w:cs="Times New Roman" w:hint="eastAsia"/>
          <w:sz w:val="32"/>
          <w:szCs w:val="32"/>
        </w:rPr>
        <w:t>，</w:t>
      </w:r>
      <w:r w:rsidR="001A6345" w:rsidRPr="00E1340A">
        <w:rPr>
          <w:rFonts w:ascii="Times New Roman" w:eastAsia="方正仿宋_GBK" w:hAnsi="Times New Roman" w:cs="Times New Roman" w:hint="eastAsia"/>
          <w:sz w:val="32"/>
          <w:szCs w:val="32"/>
        </w:rPr>
        <w:t>其他</w:t>
      </w:r>
      <w:r w:rsidR="00AE6B4E" w:rsidRPr="00E1340A">
        <w:rPr>
          <w:rFonts w:ascii="Times New Roman" w:eastAsia="方正仿宋_GBK" w:hAnsi="Times New Roman" w:cs="Times New Roman"/>
          <w:sz w:val="32"/>
          <w:szCs w:val="32"/>
        </w:rPr>
        <w:t>执行现行法律法规和</w:t>
      </w:r>
      <w:r w:rsidR="00AE6B4E">
        <w:rPr>
          <w:rFonts w:ascii="Times New Roman" w:eastAsia="方正仿宋_GBK" w:hAnsi="Times New Roman" w:cs="Times New Roman" w:hint="eastAsia"/>
          <w:sz w:val="32"/>
          <w:szCs w:val="32"/>
        </w:rPr>
        <w:t>建设行政主管部门相关</w:t>
      </w:r>
      <w:r w:rsidR="00AE6B4E" w:rsidRPr="00E1340A">
        <w:rPr>
          <w:rFonts w:ascii="Times New Roman" w:eastAsia="方正仿宋_GBK" w:hAnsi="Times New Roman" w:cs="Times New Roman"/>
          <w:sz w:val="32"/>
          <w:szCs w:val="32"/>
        </w:rPr>
        <w:t>规定</w:t>
      </w:r>
      <w:r w:rsidR="00307317">
        <w:rPr>
          <w:rFonts w:ascii="Times New Roman" w:eastAsia="方正仿宋_GBK" w:hAnsi="Times New Roman" w:cs="Times New Roman"/>
          <w:sz w:val="32"/>
          <w:szCs w:val="32"/>
        </w:rPr>
        <w:t>。</w:t>
      </w:r>
    </w:p>
    <w:p w:rsidR="007937CC" w:rsidRPr="00E1340A" w:rsidRDefault="00BE33E3"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10</w:t>
      </w:r>
      <w:r w:rsidR="00307317">
        <w:rPr>
          <w:rFonts w:ascii="Times New Roman" w:eastAsia="方正仿宋_GBK" w:hAnsi="Times New Roman" w:cs="Times New Roman"/>
          <w:sz w:val="32"/>
          <w:szCs w:val="32"/>
        </w:rPr>
        <w:t>.</w:t>
      </w:r>
      <w:r w:rsidR="00307317">
        <w:rPr>
          <w:rFonts w:ascii="Times New Roman" w:eastAsia="方正仿宋_GBK" w:hAnsi="Times New Roman" w:cs="Times New Roman" w:hint="eastAsia"/>
          <w:sz w:val="32"/>
          <w:szCs w:val="32"/>
        </w:rPr>
        <w:t>规范评标活动</w:t>
      </w:r>
      <w:r w:rsidR="00307317">
        <w:rPr>
          <w:rFonts w:ascii="Times New Roman" w:eastAsia="方正仿宋_GBK" w:hAnsi="Times New Roman" w:cs="Times New Roman"/>
          <w:sz w:val="32"/>
          <w:szCs w:val="32"/>
        </w:rPr>
        <w:t>。</w:t>
      </w:r>
      <w:r w:rsidR="00307317">
        <w:rPr>
          <w:rFonts w:ascii="Times New Roman" w:eastAsia="方正仿宋_GBK" w:hAnsi="Times New Roman" w:cs="Times New Roman" w:hint="eastAsia"/>
          <w:sz w:val="32"/>
          <w:szCs w:val="32"/>
        </w:rPr>
        <w:t>按照国家、省市有关评标机制改革创新要求，常态化推广远程异地评标和分散评标。招标人应根据项目评标需求，依规科学设置评标委员会成员的组成、数量和专业等，并合理设置抽取时间，确保评标活动规范、公正、高效、保密。</w:t>
      </w:r>
      <w:r w:rsidR="002F0FE8" w:rsidRPr="00C66C22">
        <w:rPr>
          <w:rFonts w:ascii="Times New Roman" w:eastAsia="方正仿宋_GBK" w:hAnsi="Times New Roman" w:cs="Times New Roman" w:hint="eastAsia"/>
          <w:sz w:val="32"/>
          <w:szCs w:val="32"/>
        </w:rPr>
        <w:t>严格招标人代表委派，</w:t>
      </w:r>
      <w:r w:rsidR="009F3F65" w:rsidRPr="00C66C22">
        <w:rPr>
          <w:rFonts w:ascii="Times New Roman" w:eastAsia="方正仿宋_GBK" w:hAnsi="Times New Roman" w:cs="Times New Roman" w:hint="eastAsia"/>
          <w:sz w:val="32"/>
          <w:szCs w:val="32"/>
        </w:rPr>
        <w:t>招标人代表</w:t>
      </w:r>
      <w:r w:rsidR="009F3F65" w:rsidRPr="00C66C22">
        <w:rPr>
          <w:rFonts w:ascii="Times New Roman" w:eastAsia="方正仿宋_GBK" w:hAnsi="Times New Roman" w:cs="Times New Roman"/>
          <w:sz w:val="32"/>
          <w:szCs w:val="32"/>
        </w:rPr>
        <w:t>人数不超过</w:t>
      </w:r>
      <w:r w:rsidR="009F3F65" w:rsidRPr="00C66C22">
        <w:rPr>
          <w:rFonts w:ascii="Times New Roman" w:eastAsia="方正仿宋_GBK" w:hAnsi="Times New Roman" w:cs="Times New Roman" w:hint="eastAsia"/>
          <w:sz w:val="32"/>
          <w:szCs w:val="32"/>
        </w:rPr>
        <w:t>评标委员会</w:t>
      </w:r>
      <w:r w:rsidR="009F3F65" w:rsidRPr="00C66C22">
        <w:rPr>
          <w:rFonts w:ascii="Times New Roman" w:eastAsia="方正仿宋_GBK" w:hAnsi="Times New Roman" w:cs="Times New Roman"/>
          <w:sz w:val="32"/>
          <w:szCs w:val="32"/>
        </w:rPr>
        <w:t>成员总数的三分之一</w:t>
      </w:r>
      <w:r w:rsidR="00A47B6C" w:rsidRPr="00C66C22">
        <w:rPr>
          <w:rFonts w:ascii="Times New Roman" w:eastAsia="方正仿宋_GBK" w:hAnsi="Times New Roman" w:cs="Times New Roman" w:hint="eastAsia"/>
          <w:sz w:val="32"/>
          <w:szCs w:val="32"/>
        </w:rPr>
        <w:t>，</w:t>
      </w:r>
      <w:r w:rsidR="007D51B0" w:rsidRPr="00C66C22">
        <w:rPr>
          <w:rFonts w:ascii="Times New Roman" w:eastAsia="方正仿宋_GBK" w:hAnsi="Times New Roman" w:cs="Times New Roman" w:hint="eastAsia"/>
          <w:sz w:val="32"/>
          <w:szCs w:val="32"/>
        </w:rPr>
        <w:t>负责评审技术标的招标人代表人数不超过技术标评委总数的三分之一。</w:t>
      </w:r>
    </w:p>
    <w:p w:rsidR="00B33249" w:rsidRDefault="00627E45"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sidR="00BE33E3">
        <w:rPr>
          <w:rFonts w:ascii="Times New Roman" w:eastAsia="方正仿宋_GBK" w:hAnsi="Times New Roman" w:cs="Times New Roman" w:hint="eastAsia"/>
          <w:sz w:val="32"/>
          <w:szCs w:val="32"/>
        </w:rPr>
        <w:t>1</w:t>
      </w:r>
      <w:r w:rsidR="00307317">
        <w:rPr>
          <w:rFonts w:ascii="Times New Roman" w:eastAsia="方正仿宋_GBK" w:hAnsi="Times New Roman" w:cs="Times New Roman"/>
          <w:sz w:val="32"/>
          <w:szCs w:val="32"/>
        </w:rPr>
        <w:t>.</w:t>
      </w:r>
      <w:r w:rsidR="00307317">
        <w:rPr>
          <w:rFonts w:ascii="Times New Roman" w:eastAsia="方正仿宋_GBK" w:hAnsi="Times New Roman" w:cs="Times New Roman"/>
          <w:sz w:val="32"/>
          <w:szCs w:val="32"/>
        </w:rPr>
        <w:t>取消信用档案</w:t>
      </w:r>
      <w:r w:rsidR="00307317">
        <w:rPr>
          <w:rFonts w:ascii="Times New Roman" w:eastAsia="方正仿宋_GBK" w:hAnsi="Times New Roman" w:cs="Times New Roman" w:hint="eastAsia"/>
          <w:sz w:val="32"/>
          <w:szCs w:val="32"/>
        </w:rPr>
        <w:t>资格审查条件</w:t>
      </w:r>
      <w:r w:rsidR="00307317">
        <w:rPr>
          <w:rFonts w:ascii="Times New Roman" w:eastAsia="方正仿宋_GBK" w:hAnsi="Times New Roman" w:cs="Times New Roman"/>
          <w:sz w:val="32"/>
          <w:szCs w:val="32"/>
        </w:rPr>
        <w:t>。</w:t>
      </w:r>
      <w:r w:rsidR="00307317">
        <w:rPr>
          <w:rFonts w:ascii="Times New Roman" w:eastAsia="方正仿宋_GBK" w:hAnsi="Times New Roman" w:cs="Times New Roman" w:hint="eastAsia"/>
          <w:sz w:val="32"/>
          <w:szCs w:val="32"/>
        </w:rPr>
        <w:t>依法必须进行招标的建设工程项目，资格预审文件或者招标文件中不再将建筑业企业信用档案作为资格审查条件。</w:t>
      </w:r>
    </w:p>
    <w:p w:rsidR="00B33249" w:rsidRPr="00F72FA5" w:rsidRDefault="00307317" w:rsidP="00F72FA5">
      <w:pPr>
        <w:spacing w:line="580" w:lineRule="exact"/>
        <w:ind w:firstLine="624"/>
        <w:rPr>
          <w:rFonts w:ascii="方正黑体_GBK" w:eastAsia="方正黑体_GBK" w:hAnsi="方正黑体_GBK" w:cs="Times New Roman"/>
          <w:sz w:val="32"/>
          <w:szCs w:val="32"/>
        </w:rPr>
      </w:pPr>
      <w:r w:rsidRPr="00F72FA5">
        <w:rPr>
          <w:rFonts w:ascii="方正黑体_GBK" w:eastAsia="方正黑体_GBK" w:hAnsi="方正黑体_GBK" w:cs="Times New Roman" w:hint="eastAsia"/>
          <w:sz w:val="32"/>
          <w:szCs w:val="32"/>
        </w:rPr>
        <w:t>三、提升招标投标政策效能</w:t>
      </w:r>
      <w:r w:rsidR="0037639B">
        <w:rPr>
          <w:rFonts w:ascii="方正黑体_GBK" w:eastAsia="方正黑体_GBK" w:hAnsi="方正黑体_GBK" w:cs="Times New Roman" w:hint="eastAsia"/>
          <w:sz w:val="32"/>
          <w:szCs w:val="32"/>
        </w:rPr>
        <w:t xml:space="preserve"> </w:t>
      </w:r>
    </w:p>
    <w:p w:rsidR="00B33249" w:rsidRDefault="00307317"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sidR="00BE33E3">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支持中小企业发展。</w:t>
      </w:r>
      <w:r>
        <w:rPr>
          <w:rFonts w:ascii="Times New Roman" w:eastAsia="方正仿宋_GBK" w:hAnsi="Times New Roman" w:cs="Times New Roman" w:hint="eastAsia"/>
          <w:sz w:val="32"/>
          <w:szCs w:val="32"/>
        </w:rPr>
        <w:t>鼓励国有资金投资项目招标人提高预付款、进度款支付比例，支持适宜由中小企业承建的政府投资项目招标人在招标文件中</w:t>
      </w:r>
      <w:r w:rsidR="00732028">
        <w:rPr>
          <w:rFonts w:ascii="Times New Roman" w:eastAsia="方正仿宋_GBK" w:hAnsi="Times New Roman" w:cs="Times New Roman" w:hint="eastAsia"/>
          <w:sz w:val="32"/>
          <w:szCs w:val="32"/>
        </w:rPr>
        <w:t>约定</w:t>
      </w:r>
      <w:r>
        <w:rPr>
          <w:rFonts w:ascii="Times New Roman" w:eastAsia="方正仿宋_GBK" w:hAnsi="Times New Roman" w:cs="Times New Roman" w:hint="eastAsia"/>
          <w:sz w:val="32"/>
          <w:szCs w:val="32"/>
        </w:rPr>
        <w:t>面向中小企业采购，</w:t>
      </w:r>
      <w:r w:rsidR="00010912">
        <w:rPr>
          <w:rFonts w:ascii="Times New Roman" w:eastAsia="方正仿宋_GBK" w:hAnsi="Times New Roman" w:cs="Times New Roman" w:hint="eastAsia"/>
          <w:sz w:val="32"/>
          <w:szCs w:val="32"/>
        </w:rPr>
        <w:t>并明确中小企业认定标准及</w:t>
      </w:r>
      <w:r w:rsidR="00732028">
        <w:rPr>
          <w:rFonts w:ascii="Times New Roman" w:eastAsia="方正仿宋_GBK" w:hAnsi="Times New Roman" w:cs="Times New Roman" w:hint="eastAsia"/>
          <w:sz w:val="32"/>
          <w:szCs w:val="32"/>
        </w:rPr>
        <w:t>评审要求</w:t>
      </w:r>
      <w:r w:rsidR="00010912">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加大对中小企业参与招标投标的支持力度。</w:t>
      </w:r>
    </w:p>
    <w:p w:rsidR="00B33249" w:rsidRDefault="00307317"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BE33E3">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支持新材料新工艺应用。</w:t>
      </w:r>
      <w:r>
        <w:rPr>
          <w:rFonts w:ascii="Times New Roman" w:eastAsia="方正仿宋_GBK" w:hAnsi="Times New Roman" w:cs="Times New Roman" w:hint="eastAsia"/>
          <w:sz w:val="32"/>
          <w:szCs w:val="32"/>
        </w:rPr>
        <w:t>落实国家、省市有关文件，招</w:t>
      </w:r>
      <w:r>
        <w:rPr>
          <w:rFonts w:ascii="Times New Roman" w:eastAsia="方正仿宋_GBK" w:hAnsi="Times New Roman" w:cs="Times New Roman" w:hint="eastAsia"/>
          <w:sz w:val="32"/>
          <w:szCs w:val="32"/>
        </w:rPr>
        <w:lastRenderedPageBreak/>
        <w:t>标人应当结合项目特点和需要，将绿色建筑和绿色建材、建筑垃圾再生产品、承插型盘扣式脚手架和钢板网等新材料新工艺的推广应用，在招标文件或者合同</w:t>
      </w:r>
      <w:r w:rsidR="00E1340A">
        <w:rPr>
          <w:rFonts w:ascii="Times New Roman" w:eastAsia="方正仿宋_GBK" w:hAnsi="Times New Roman" w:cs="Times New Roman" w:hint="eastAsia"/>
          <w:sz w:val="32"/>
          <w:szCs w:val="32"/>
        </w:rPr>
        <w:t>文本</w:t>
      </w:r>
      <w:r>
        <w:rPr>
          <w:rFonts w:ascii="Times New Roman" w:eastAsia="方正仿宋_GBK" w:hAnsi="Times New Roman" w:cs="Times New Roman" w:hint="eastAsia"/>
          <w:sz w:val="32"/>
          <w:szCs w:val="32"/>
        </w:rPr>
        <w:t>中明确要求。</w:t>
      </w:r>
    </w:p>
    <w:p w:rsidR="00B33249" w:rsidRDefault="00307317"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本通知自发布之日起执行</w:t>
      </w:r>
      <w:r w:rsidRPr="007B4BE3">
        <w:rPr>
          <w:rFonts w:ascii="Times New Roman" w:eastAsia="方正仿宋_GBK" w:hAnsi="Times New Roman" w:cs="Times New Roman" w:hint="eastAsia"/>
          <w:sz w:val="32"/>
          <w:szCs w:val="32"/>
        </w:rPr>
        <w:t>，此前与本</w:t>
      </w:r>
      <w:r w:rsidR="007B4BE3">
        <w:rPr>
          <w:rFonts w:ascii="Times New Roman" w:eastAsia="方正仿宋_GBK" w:hAnsi="Times New Roman" w:cs="Times New Roman" w:hint="eastAsia"/>
          <w:sz w:val="32"/>
          <w:szCs w:val="32"/>
        </w:rPr>
        <w:t>通知</w:t>
      </w:r>
      <w:r w:rsidRPr="007B4BE3">
        <w:rPr>
          <w:rFonts w:ascii="Times New Roman" w:eastAsia="方正仿宋_GBK" w:hAnsi="Times New Roman" w:cs="Times New Roman" w:hint="eastAsia"/>
          <w:sz w:val="32"/>
          <w:szCs w:val="32"/>
        </w:rPr>
        <w:t>不一致的</w:t>
      </w:r>
      <w:r w:rsidR="007B4BE3">
        <w:rPr>
          <w:rFonts w:ascii="Times New Roman" w:eastAsia="方正仿宋_GBK" w:hAnsi="Times New Roman" w:cs="Times New Roman" w:hint="eastAsia"/>
          <w:sz w:val="32"/>
          <w:szCs w:val="32"/>
        </w:rPr>
        <w:t>以本通知为准</w:t>
      </w:r>
      <w:r w:rsidRPr="007B4BE3">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国家、省出台新文件的按新文件执行。</w:t>
      </w:r>
    </w:p>
    <w:p w:rsidR="00B33249" w:rsidRDefault="00307317"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sz w:val="32"/>
          <w:szCs w:val="32"/>
        </w:rPr>
        <w:t>《关于调整我市非国有资金投资工程发包管理有关事项的通知》</w:t>
      </w:r>
      <w:r>
        <w:rPr>
          <w:rFonts w:ascii="Times New Roman" w:eastAsia="方正仿宋_GBK" w:hAnsi="Times New Roman" w:cs="Times New Roman" w:hint="eastAsia"/>
          <w:sz w:val="32"/>
          <w:szCs w:val="32"/>
        </w:rPr>
        <w:t>（宁建招字〔</w:t>
      </w:r>
      <w:r>
        <w:rPr>
          <w:rFonts w:ascii="Times New Roman" w:eastAsia="方正仿宋_GBK" w:hAnsi="Times New Roman" w:cs="Times New Roman" w:hint="eastAsia"/>
          <w:sz w:val="32"/>
          <w:szCs w:val="32"/>
        </w:rPr>
        <w:t>2015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199</w:t>
      </w:r>
      <w:r>
        <w:rPr>
          <w:rFonts w:ascii="Times New Roman" w:eastAsia="方正仿宋_GBK" w:hAnsi="Times New Roman" w:cs="Times New Roman" w:hint="eastAsia"/>
          <w:sz w:val="32"/>
          <w:szCs w:val="32"/>
        </w:rPr>
        <w:t>号）</w:t>
      </w:r>
      <w:r>
        <w:rPr>
          <w:rFonts w:ascii="Times New Roman" w:eastAsia="方正仿宋_GBK" w:hAnsi="Times New Roman" w:cs="Times New Roman"/>
          <w:sz w:val="32"/>
          <w:szCs w:val="32"/>
        </w:rPr>
        <w:t>、《关于规范国有资金投资小型建设工程发包管理的暂行意见》</w:t>
      </w:r>
      <w:r>
        <w:rPr>
          <w:rFonts w:ascii="Times New Roman" w:eastAsia="方正仿宋_GBK" w:hAnsi="Times New Roman" w:cs="Times New Roman" w:hint="eastAsia"/>
          <w:sz w:val="32"/>
          <w:szCs w:val="32"/>
        </w:rPr>
        <w:t>（宁建招字〔</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304</w:t>
      </w:r>
      <w:r>
        <w:rPr>
          <w:rFonts w:ascii="Times New Roman" w:eastAsia="方正仿宋_GBK" w:hAnsi="Times New Roman" w:cs="Times New Roman" w:hint="eastAsia"/>
          <w:sz w:val="32"/>
          <w:szCs w:val="32"/>
        </w:rPr>
        <w:t>号）同时废止</w:t>
      </w:r>
      <w:r>
        <w:rPr>
          <w:rFonts w:ascii="Times New Roman" w:eastAsia="方正仿宋_GBK" w:hAnsi="Times New Roman" w:cs="Times New Roman"/>
          <w:sz w:val="32"/>
          <w:szCs w:val="32"/>
        </w:rPr>
        <w:t>。</w:t>
      </w:r>
    </w:p>
    <w:p w:rsidR="00B33249" w:rsidRDefault="00B33249" w:rsidP="00F72FA5">
      <w:pPr>
        <w:spacing w:line="580" w:lineRule="exact"/>
        <w:ind w:firstLine="624"/>
        <w:rPr>
          <w:rFonts w:ascii="Times New Roman" w:eastAsia="方正仿宋_GBK" w:hAnsi="Times New Roman" w:cs="Times New Roman"/>
          <w:sz w:val="32"/>
          <w:szCs w:val="32"/>
        </w:rPr>
      </w:pPr>
    </w:p>
    <w:p w:rsidR="00B33249" w:rsidRDefault="00B33249" w:rsidP="00F72FA5">
      <w:pPr>
        <w:spacing w:line="580" w:lineRule="exact"/>
        <w:ind w:firstLine="624"/>
        <w:rPr>
          <w:rFonts w:ascii="Times New Roman" w:eastAsia="方正仿宋_GBK" w:hAnsi="Times New Roman" w:cs="Times New Roman"/>
          <w:sz w:val="32"/>
          <w:szCs w:val="32"/>
        </w:rPr>
      </w:pPr>
    </w:p>
    <w:p w:rsidR="00B33249" w:rsidRDefault="00307317"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sidR="00207229">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南京市城乡建设委员会</w:t>
      </w:r>
    </w:p>
    <w:p w:rsidR="00B33249" w:rsidRPr="00E1340A" w:rsidRDefault="00307317" w:rsidP="00F72FA5">
      <w:pPr>
        <w:spacing w:line="580" w:lineRule="exact"/>
        <w:ind w:firstLine="624"/>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2025</w:t>
      </w:r>
      <w:r>
        <w:rPr>
          <w:rFonts w:ascii="Times New Roman" w:eastAsia="方正仿宋_GBK" w:hAnsi="Times New Roman" w:cs="Times New Roman" w:hint="eastAsia"/>
          <w:sz w:val="32"/>
          <w:szCs w:val="32"/>
        </w:rPr>
        <w:t>年</w:t>
      </w:r>
      <w:r w:rsidR="00207229">
        <w:rPr>
          <w:rFonts w:ascii="Times New Roman" w:eastAsia="方正仿宋_GBK" w:hAnsi="Times New Roman" w:cs="Times New Roman" w:hint="eastAsia"/>
          <w:sz w:val="32"/>
          <w:szCs w:val="32"/>
        </w:rPr>
        <w:t>XX</w:t>
      </w:r>
      <w:r>
        <w:rPr>
          <w:rFonts w:ascii="Times New Roman" w:eastAsia="方正仿宋_GBK" w:hAnsi="Times New Roman" w:cs="Times New Roman" w:hint="eastAsia"/>
          <w:sz w:val="32"/>
          <w:szCs w:val="32"/>
        </w:rPr>
        <w:t>月</w:t>
      </w:r>
      <w:r w:rsidR="00207229">
        <w:rPr>
          <w:rFonts w:ascii="Times New Roman" w:eastAsia="方正仿宋_GBK" w:hAnsi="Times New Roman" w:cs="Times New Roman" w:hint="eastAsia"/>
          <w:sz w:val="32"/>
          <w:szCs w:val="32"/>
        </w:rPr>
        <w:t>XX</w:t>
      </w:r>
      <w:r>
        <w:rPr>
          <w:rFonts w:ascii="Times New Roman" w:eastAsia="方正仿宋_GBK" w:hAnsi="Times New Roman" w:cs="Times New Roman" w:hint="eastAsia"/>
          <w:sz w:val="32"/>
          <w:szCs w:val="32"/>
        </w:rPr>
        <w:t>日</w:t>
      </w:r>
    </w:p>
    <w:sectPr w:rsidR="00B33249" w:rsidRPr="00E1340A" w:rsidSect="00B33249">
      <w:footerReference w:type="default" r:id="rId9"/>
      <w:pgSz w:w="11906" w:h="16838"/>
      <w:pgMar w:top="2098" w:right="1587" w:bottom="170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860" w:rsidRDefault="00A26860" w:rsidP="00B33249">
      <w:r>
        <w:separator/>
      </w:r>
    </w:p>
  </w:endnote>
  <w:endnote w:type="continuationSeparator" w:id="1">
    <w:p w:rsidR="00A26860" w:rsidRDefault="00A26860" w:rsidP="00B332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方正黑体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49" w:rsidRDefault="00F9749E">
    <w:pPr>
      <w:pStyle w:val="a5"/>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filled="f" stroked="f" strokeweight=".5pt">
          <v:textbox style="mso-fit-shape-to-text:t" inset="0,0,0,0">
            <w:txbxContent>
              <w:p w:rsidR="00B33249" w:rsidRDefault="00307317">
                <w:pPr>
                  <w:pStyle w:val="a5"/>
                  <w:rPr>
                    <w:sz w:val="28"/>
                    <w:szCs w:val="28"/>
                  </w:rPr>
                </w:pPr>
                <w:r>
                  <w:rPr>
                    <w:rFonts w:hint="eastAsia"/>
                    <w:sz w:val="28"/>
                    <w:szCs w:val="28"/>
                  </w:rPr>
                  <w:t>—</w:t>
                </w:r>
                <w:r>
                  <w:rPr>
                    <w:rFonts w:hint="eastAsia"/>
                    <w:sz w:val="28"/>
                    <w:szCs w:val="28"/>
                  </w:rPr>
                  <w:t xml:space="preserve"> </w:t>
                </w:r>
                <w:r w:rsidR="00F9749E">
                  <w:rPr>
                    <w:rFonts w:hint="eastAsia"/>
                    <w:sz w:val="28"/>
                    <w:szCs w:val="28"/>
                  </w:rPr>
                  <w:fldChar w:fldCharType="begin"/>
                </w:r>
                <w:r>
                  <w:rPr>
                    <w:rFonts w:hint="eastAsia"/>
                    <w:sz w:val="28"/>
                    <w:szCs w:val="28"/>
                  </w:rPr>
                  <w:instrText xml:space="preserve"> PAGE  \* MERGEFORMAT </w:instrText>
                </w:r>
                <w:r w:rsidR="00F9749E">
                  <w:rPr>
                    <w:rFonts w:hint="eastAsia"/>
                    <w:sz w:val="28"/>
                    <w:szCs w:val="28"/>
                  </w:rPr>
                  <w:fldChar w:fldCharType="separate"/>
                </w:r>
                <w:r w:rsidR="00B26DFD">
                  <w:rPr>
                    <w:noProof/>
                    <w:sz w:val="28"/>
                    <w:szCs w:val="28"/>
                  </w:rPr>
                  <w:t>1</w:t>
                </w:r>
                <w:r w:rsidR="00F9749E">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860" w:rsidRDefault="00A26860" w:rsidP="00B33249">
      <w:r>
        <w:separator/>
      </w:r>
    </w:p>
  </w:footnote>
  <w:footnote w:type="continuationSeparator" w:id="1">
    <w:p w:rsidR="00A26860" w:rsidRDefault="00A26860" w:rsidP="00B33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5A2A8"/>
    <w:multiLevelType w:val="singleLevel"/>
    <w:tmpl w:val="5BE5A2A8"/>
    <w:lvl w:ilvl="0">
      <w:start w:val="8"/>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4CB"/>
    <w:rsid w:val="000052A8"/>
    <w:rsid w:val="00010912"/>
    <w:rsid w:val="00012E31"/>
    <w:rsid w:val="00026DB1"/>
    <w:rsid w:val="0007111B"/>
    <w:rsid w:val="00072608"/>
    <w:rsid w:val="00076EAD"/>
    <w:rsid w:val="000937E4"/>
    <w:rsid w:val="000A1E2E"/>
    <w:rsid w:val="000B49DA"/>
    <w:rsid w:val="000B557A"/>
    <w:rsid w:val="000C0A9B"/>
    <w:rsid w:val="000C12D2"/>
    <w:rsid w:val="000D7E03"/>
    <w:rsid w:val="000F449F"/>
    <w:rsid w:val="000F6E4B"/>
    <w:rsid w:val="00106A16"/>
    <w:rsid w:val="0011551E"/>
    <w:rsid w:val="001256D4"/>
    <w:rsid w:val="00135A72"/>
    <w:rsid w:val="00137D86"/>
    <w:rsid w:val="00143473"/>
    <w:rsid w:val="00143EDE"/>
    <w:rsid w:val="001453A2"/>
    <w:rsid w:val="00156185"/>
    <w:rsid w:val="00160558"/>
    <w:rsid w:val="0016201D"/>
    <w:rsid w:val="0016556D"/>
    <w:rsid w:val="001A6345"/>
    <w:rsid w:val="001B14E2"/>
    <w:rsid w:val="001D512C"/>
    <w:rsid w:val="001E1070"/>
    <w:rsid w:val="001E61E7"/>
    <w:rsid w:val="001F7C18"/>
    <w:rsid w:val="002063E5"/>
    <w:rsid w:val="00207229"/>
    <w:rsid w:val="002172A6"/>
    <w:rsid w:val="00236139"/>
    <w:rsid w:val="002406CD"/>
    <w:rsid w:val="00257A0A"/>
    <w:rsid w:val="002679B8"/>
    <w:rsid w:val="002727AC"/>
    <w:rsid w:val="002764BB"/>
    <w:rsid w:val="00294635"/>
    <w:rsid w:val="00295BED"/>
    <w:rsid w:val="002976D5"/>
    <w:rsid w:val="002A2C97"/>
    <w:rsid w:val="002B5B1F"/>
    <w:rsid w:val="002C3DB3"/>
    <w:rsid w:val="002C633D"/>
    <w:rsid w:val="002E5004"/>
    <w:rsid w:val="002E5827"/>
    <w:rsid w:val="002F0FE8"/>
    <w:rsid w:val="002F2A7C"/>
    <w:rsid w:val="002F64DC"/>
    <w:rsid w:val="00302929"/>
    <w:rsid w:val="00307317"/>
    <w:rsid w:val="00311DCA"/>
    <w:rsid w:val="00313519"/>
    <w:rsid w:val="0032156D"/>
    <w:rsid w:val="00332543"/>
    <w:rsid w:val="003430E6"/>
    <w:rsid w:val="00344586"/>
    <w:rsid w:val="00355215"/>
    <w:rsid w:val="00363B16"/>
    <w:rsid w:val="003646DE"/>
    <w:rsid w:val="00367669"/>
    <w:rsid w:val="0037321F"/>
    <w:rsid w:val="0037639B"/>
    <w:rsid w:val="003771F5"/>
    <w:rsid w:val="00391932"/>
    <w:rsid w:val="00393FCD"/>
    <w:rsid w:val="003945A6"/>
    <w:rsid w:val="003A3DDD"/>
    <w:rsid w:val="003B1C39"/>
    <w:rsid w:val="003B4961"/>
    <w:rsid w:val="003C09F8"/>
    <w:rsid w:val="003C55E4"/>
    <w:rsid w:val="003C6BAB"/>
    <w:rsid w:val="003E55CD"/>
    <w:rsid w:val="003F6962"/>
    <w:rsid w:val="00411422"/>
    <w:rsid w:val="00421508"/>
    <w:rsid w:val="00430B8B"/>
    <w:rsid w:val="004530EF"/>
    <w:rsid w:val="004805FB"/>
    <w:rsid w:val="00486FAA"/>
    <w:rsid w:val="004952DB"/>
    <w:rsid w:val="004A3491"/>
    <w:rsid w:val="004A422A"/>
    <w:rsid w:val="004A4A41"/>
    <w:rsid w:val="004A50E4"/>
    <w:rsid w:val="004A6DA8"/>
    <w:rsid w:val="004B1B22"/>
    <w:rsid w:val="004C0D72"/>
    <w:rsid w:val="004E24E4"/>
    <w:rsid w:val="004F174C"/>
    <w:rsid w:val="004F5821"/>
    <w:rsid w:val="004F635F"/>
    <w:rsid w:val="00516A3C"/>
    <w:rsid w:val="00524778"/>
    <w:rsid w:val="005264CE"/>
    <w:rsid w:val="00537C9A"/>
    <w:rsid w:val="005401BC"/>
    <w:rsid w:val="005436B7"/>
    <w:rsid w:val="00555763"/>
    <w:rsid w:val="0057729F"/>
    <w:rsid w:val="00583559"/>
    <w:rsid w:val="00594AC9"/>
    <w:rsid w:val="005A13FB"/>
    <w:rsid w:val="005B0087"/>
    <w:rsid w:val="005B66F5"/>
    <w:rsid w:val="005B7D79"/>
    <w:rsid w:val="005C68CF"/>
    <w:rsid w:val="005E6F92"/>
    <w:rsid w:val="005F7C1F"/>
    <w:rsid w:val="006035C8"/>
    <w:rsid w:val="006072A6"/>
    <w:rsid w:val="00610226"/>
    <w:rsid w:val="0061520D"/>
    <w:rsid w:val="00627E45"/>
    <w:rsid w:val="0063682A"/>
    <w:rsid w:val="006421B2"/>
    <w:rsid w:val="006860A2"/>
    <w:rsid w:val="00691A62"/>
    <w:rsid w:val="00692F1C"/>
    <w:rsid w:val="006A2915"/>
    <w:rsid w:val="006C0CFC"/>
    <w:rsid w:val="006C5BD2"/>
    <w:rsid w:val="006D5F95"/>
    <w:rsid w:val="006D6C70"/>
    <w:rsid w:val="006F3CBC"/>
    <w:rsid w:val="007008E5"/>
    <w:rsid w:val="00723D1A"/>
    <w:rsid w:val="007259EF"/>
    <w:rsid w:val="00732028"/>
    <w:rsid w:val="007418F0"/>
    <w:rsid w:val="007449EA"/>
    <w:rsid w:val="00746920"/>
    <w:rsid w:val="00771CE5"/>
    <w:rsid w:val="00775B1C"/>
    <w:rsid w:val="00780275"/>
    <w:rsid w:val="007867C1"/>
    <w:rsid w:val="007937CC"/>
    <w:rsid w:val="007B345B"/>
    <w:rsid w:val="007B4BE3"/>
    <w:rsid w:val="007B5F5A"/>
    <w:rsid w:val="007D4FB8"/>
    <w:rsid w:val="007D51B0"/>
    <w:rsid w:val="007D79CB"/>
    <w:rsid w:val="008104DA"/>
    <w:rsid w:val="008110E1"/>
    <w:rsid w:val="00811208"/>
    <w:rsid w:val="00827EAC"/>
    <w:rsid w:val="00830975"/>
    <w:rsid w:val="008314CB"/>
    <w:rsid w:val="0083246F"/>
    <w:rsid w:val="008B30D9"/>
    <w:rsid w:val="008C4E01"/>
    <w:rsid w:val="008D0BE6"/>
    <w:rsid w:val="008F4986"/>
    <w:rsid w:val="008F5575"/>
    <w:rsid w:val="008F684B"/>
    <w:rsid w:val="00911036"/>
    <w:rsid w:val="00912501"/>
    <w:rsid w:val="00920E57"/>
    <w:rsid w:val="00924D7A"/>
    <w:rsid w:val="0092685D"/>
    <w:rsid w:val="00956C72"/>
    <w:rsid w:val="009608F7"/>
    <w:rsid w:val="00965269"/>
    <w:rsid w:val="009658B4"/>
    <w:rsid w:val="00970E14"/>
    <w:rsid w:val="00974FA9"/>
    <w:rsid w:val="00995C4A"/>
    <w:rsid w:val="009F0654"/>
    <w:rsid w:val="009F3F65"/>
    <w:rsid w:val="009F723A"/>
    <w:rsid w:val="00A22FCE"/>
    <w:rsid w:val="00A25BB8"/>
    <w:rsid w:val="00A26860"/>
    <w:rsid w:val="00A3419F"/>
    <w:rsid w:val="00A47B6C"/>
    <w:rsid w:val="00A5657F"/>
    <w:rsid w:val="00A56A9C"/>
    <w:rsid w:val="00A6156C"/>
    <w:rsid w:val="00A6462E"/>
    <w:rsid w:val="00A744C1"/>
    <w:rsid w:val="00A901DA"/>
    <w:rsid w:val="00A91E55"/>
    <w:rsid w:val="00A9672C"/>
    <w:rsid w:val="00AA643F"/>
    <w:rsid w:val="00AB3F93"/>
    <w:rsid w:val="00AC21EE"/>
    <w:rsid w:val="00AC32AB"/>
    <w:rsid w:val="00AC7614"/>
    <w:rsid w:val="00AD4413"/>
    <w:rsid w:val="00AE35D5"/>
    <w:rsid w:val="00AE6B28"/>
    <w:rsid w:val="00AE6B4E"/>
    <w:rsid w:val="00AE7326"/>
    <w:rsid w:val="00AF3318"/>
    <w:rsid w:val="00AF3D88"/>
    <w:rsid w:val="00B00368"/>
    <w:rsid w:val="00B1146E"/>
    <w:rsid w:val="00B242A9"/>
    <w:rsid w:val="00B24B14"/>
    <w:rsid w:val="00B26DFD"/>
    <w:rsid w:val="00B33249"/>
    <w:rsid w:val="00B355E9"/>
    <w:rsid w:val="00B42467"/>
    <w:rsid w:val="00B44202"/>
    <w:rsid w:val="00B459F6"/>
    <w:rsid w:val="00B468AE"/>
    <w:rsid w:val="00B56C60"/>
    <w:rsid w:val="00B674AB"/>
    <w:rsid w:val="00B87C8D"/>
    <w:rsid w:val="00BE2213"/>
    <w:rsid w:val="00BE2534"/>
    <w:rsid w:val="00BE33E3"/>
    <w:rsid w:val="00BF0488"/>
    <w:rsid w:val="00BF2AE2"/>
    <w:rsid w:val="00BF4936"/>
    <w:rsid w:val="00BF551A"/>
    <w:rsid w:val="00C01A4A"/>
    <w:rsid w:val="00C365E6"/>
    <w:rsid w:val="00C37E98"/>
    <w:rsid w:val="00C5027E"/>
    <w:rsid w:val="00C66C22"/>
    <w:rsid w:val="00C76773"/>
    <w:rsid w:val="00C94CB0"/>
    <w:rsid w:val="00C959F6"/>
    <w:rsid w:val="00CA3A83"/>
    <w:rsid w:val="00CB0DD8"/>
    <w:rsid w:val="00CB5389"/>
    <w:rsid w:val="00CD18CE"/>
    <w:rsid w:val="00CD3289"/>
    <w:rsid w:val="00CD3832"/>
    <w:rsid w:val="00CE365D"/>
    <w:rsid w:val="00CE611D"/>
    <w:rsid w:val="00CF16A1"/>
    <w:rsid w:val="00CF3CFA"/>
    <w:rsid w:val="00CF3FED"/>
    <w:rsid w:val="00CF759B"/>
    <w:rsid w:val="00D07251"/>
    <w:rsid w:val="00D12E23"/>
    <w:rsid w:val="00D554B5"/>
    <w:rsid w:val="00D71C0C"/>
    <w:rsid w:val="00D72B07"/>
    <w:rsid w:val="00D75DFE"/>
    <w:rsid w:val="00DB0744"/>
    <w:rsid w:val="00DB6621"/>
    <w:rsid w:val="00DC3010"/>
    <w:rsid w:val="00DC3013"/>
    <w:rsid w:val="00DC685C"/>
    <w:rsid w:val="00DF675A"/>
    <w:rsid w:val="00E00EEF"/>
    <w:rsid w:val="00E01103"/>
    <w:rsid w:val="00E015A6"/>
    <w:rsid w:val="00E1340A"/>
    <w:rsid w:val="00E13F62"/>
    <w:rsid w:val="00E1541B"/>
    <w:rsid w:val="00E4319F"/>
    <w:rsid w:val="00E55672"/>
    <w:rsid w:val="00E570A4"/>
    <w:rsid w:val="00E675BD"/>
    <w:rsid w:val="00E80E9D"/>
    <w:rsid w:val="00E9711A"/>
    <w:rsid w:val="00EA32AF"/>
    <w:rsid w:val="00EC3ADF"/>
    <w:rsid w:val="00EC68F7"/>
    <w:rsid w:val="00EC7B98"/>
    <w:rsid w:val="00EF19BD"/>
    <w:rsid w:val="00EF6C75"/>
    <w:rsid w:val="00F029DC"/>
    <w:rsid w:val="00F35EC1"/>
    <w:rsid w:val="00F4478C"/>
    <w:rsid w:val="00F50E61"/>
    <w:rsid w:val="00F72FA5"/>
    <w:rsid w:val="00F76AAC"/>
    <w:rsid w:val="00F80B45"/>
    <w:rsid w:val="00F873C7"/>
    <w:rsid w:val="00F96A01"/>
    <w:rsid w:val="00F9749E"/>
    <w:rsid w:val="00FB21BF"/>
    <w:rsid w:val="00FB4F93"/>
    <w:rsid w:val="00FB6595"/>
    <w:rsid w:val="00FC0778"/>
    <w:rsid w:val="00FC2E5D"/>
    <w:rsid w:val="00FD1EA4"/>
    <w:rsid w:val="00FF2EEB"/>
    <w:rsid w:val="03022D9F"/>
    <w:rsid w:val="06E57AF7"/>
    <w:rsid w:val="08A237D4"/>
    <w:rsid w:val="1FC31E88"/>
    <w:rsid w:val="20550C2C"/>
    <w:rsid w:val="53376CE0"/>
    <w:rsid w:val="5A362182"/>
    <w:rsid w:val="62E06E6A"/>
    <w:rsid w:val="721B44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2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3249"/>
    <w:pPr>
      <w:jc w:val="left"/>
    </w:pPr>
  </w:style>
  <w:style w:type="paragraph" w:styleId="a4">
    <w:name w:val="Balloon Text"/>
    <w:basedOn w:val="a"/>
    <w:link w:val="Char0"/>
    <w:uiPriority w:val="99"/>
    <w:semiHidden/>
    <w:unhideWhenUsed/>
    <w:qFormat/>
    <w:rsid w:val="00B33249"/>
    <w:rPr>
      <w:sz w:val="18"/>
      <w:szCs w:val="18"/>
    </w:rPr>
  </w:style>
  <w:style w:type="paragraph" w:styleId="a5">
    <w:name w:val="footer"/>
    <w:basedOn w:val="a"/>
    <w:link w:val="Char1"/>
    <w:uiPriority w:val="99"/>
    <w:semiHidden/>
    <w:unhideWhenUsed/>
    <w:qFormat/>
    <w:rsid w:val="00B33249"/>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B33249"/>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B33249"/>
    <w:pPr>
      <w:snapToGrid w:val="0"/>
      <w:jc w:val="left"/>
    </w:pPr>
    <w:rPr>
      <w:sz w:val="18"/>
    </w:rPr>
  </w:style>
  <w:style w:type="character" w:styleId="a8">
    <w:name w:val="Strong"/>
    <w:basedOn w:val="a0"/>
    <w:uiPriority w:val="22"/>
    <w:qFormat/>
    <w:rsid w:val="00B33249"/>
    <w:rPr>
      <w:b/>
      <w:bCs/>
    </w:rPr>
  </w:style>
  <w:style w:type="character" w:styleId="a9">
    <w:name w:val="FollowedHyperlink"/>
    <w:basedOn w:val="a0"/>
    <w:uiPriority w:val="99"/>
    <w:semiHidden/>
    <w:unhideWhenUsed/>
    <w:qFormat/>
    <w:rsid w:val="00B33249"/>
    <w:rPr>
      <w:color w:val="800080" w:themeColor="followedHyperlink"/>
      <w:u w:val="single"/>
    </w:rPr>
  </w:style>
  <w:style w:type="character" w:styleId="aa">
    <w:name w:val="Hyperlink"/>
    <w:basedOn w:val="a0"/>
    <w:uiPriority w:val="99"/>
    <w:unhideWhenUsed/>
    <w:qFormat/>
    <w:rsid w:val="00B33249"/>
    <w:rPr>
      <w:color w:val="0000FF"/>
      <w:u w:val="single"/>
    </w:rPr>
  </w:style>
  <w:style w:type="character" w:styleId="ab">
    <w:name w:val="annotation reference"/>
    <w:basedOn w:val="a0"/>
    <w:uiPriority w:val="99"/>
    <w:semiHidden/>
    <w:unhideWhenUsed/>
    <w:qFormat/>
    <w:rsid w:val="00B33249"/>
    <w:rPr>
      <w:sz w:val="21"/>
      <w:szCs w:val="21"/>
    </w:rPr>
  </w:style>
  <w:style w:type="character" w:styleId="ac">
    <w:name w:val="footnote reference"/>
    <w:basedOn w:val="a0"/>
    <w:uiPriority w:val="99"/>
    <w:semiHidden/>
    <w:unhideWhenUsed/>
    <w:qFormat/>
    <w:rsid w:val="00B33249"/>
    <w:rPr>
      <w:vertAlign w:val="superscript"/>
    </w:rPr>
  </w:style>
  <w:style w:type="character" w:customStyle="1" w:styleId="Char2">
    <w:name w:val="页眉 Char"/>
    <w:basedOn w:val="a0"/>
    <w:link w:val="a6"/>
    <w:uiPriority w:val="99"/>
    <w:semiHidden/>
    <w:qFormat/>
    <w:rsid w:val="00B33249"/>
    <w:rPr>
      <w:sz w:val="18"/>
      <w:szCs w:val="18"/>
    </w:rPr>
  </w:style>
  <w:style w:type="character" w:customStyle="1" w:styleId="Char1">
    <w:name w:val="页脚 Char"/>
    <w:basedOn w:val="a0"/>
    <w:link w:val="a5"/>
    <w:uiPriority w:val="99"/>
    <w:semiHidden/>
    <w:qFormat/>
    <w:rsid w:val="00B33249"/>
    <w:rPr>
      <w:sz w:val="18"/>
      <w:szCs w:val="18"/>
    </w:rPr>
  </w:style>
  <w:style w:type="character" w:customStyle="1" w:styleId="Char">
    <w:name w:val="批注文字 Char"/>
    <w:basedOn w:val="a0"/>
    <w:link w:val="a3"/>
    <w:uiPriority w:val="99"/>
    <w:semiHidden/>
    <w:qFormat/>
    <w:rsid w:val="00B33249"/>
  </w:style>
  <w:style w:type="character" w:customStyle="1" w:styleId="Char3">
    <w:name w:val="脚注文本 Char"/>
    <w:basedOn w:val="a0"/>
    <w:link w:val="a7"/>
    <w:uiPriority w:val="99"/>
    <w:semiHidden/>
    <w:qFormat/>
    <w:rsid w:val="00B33249"/>
    <w:rPr>
      <w:sz w:val="18"/>
    </w:rPr>
  </w:style>
  <w:style w:type="character" w:customStyle="1" w:styleId="Char0">
    <w:name w:val="批注框文本 Char"/>
    <w:basedOn w:val="a0"/>
    <w:link w:val="a4"/>
    <w:uiPriority w:val="99"/>
    <w:semiHidden/>
    <w:qFormat/>
    <w:rsid w:val="00B3324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363CDDBD-1670-4669-922B-8CAE1457AE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8363</TotalTime>
  <Pages>6</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韩敬文</dc:creator>
  <cp:lastModifiedBy>韩敬文</cp:lastModifiedBy>
  <cp:revision>170</cp:revision>
  <cp:lastPrinted>2025-11-19T04:01:00Z</cp:lastPrinted>
  <dcterms:created xsi:type="dcterms:W3CDTF">2025-11-13T06:18:00Z</dcterms:created>
  <dcterms:modified xsi:type="dcterms:W3CDTF">2025-12-29T08:39:00Z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