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B8" w:rsidRDefault="006B7899">
      <w:pPr>
        <w:jc w:val="center"/>
        <w:rPr>
          <w:rFonts w:ascii="黑体" w:eastAsia="黑体" w:hAnsi="黑体" w:cs="黑体"/>
          <w:b/>
          <w:bCs/>
          <w:sz w:val="36"/>
          <w:szCs w:val="36"/>
        </w:rPr>
      </w:pPr>
      <w:r>
        <w:rPr>
          <w:rFonts w:ascii="黑体" w:eastAsia="黑体" w:hAnsi="黑体" w:cs="黑体"/>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AC57B5">
        <w:rPr>
          <w:rFonts w:ascii="黑体" w:eastAsia="黑体" w:hAnsi="黑体" w:cs="黑体"/>
          <w:b/>
          <w:bCs/>
          <w:sz w:val="36"/>
          <w:szCs w:val="36"/>
        </w:rPr>
        <w:instrText>ADDIN CNKISM.UserStyle</w:instrText>
      </w:r>
      <w:r>
        <w:rPr>
          <w:rFonts w:ascii="黑体" w:eastAsia="黑体" w:hAnsi="黑体" w:cs="黑体"/>
          <w:b/>
          <w:bCs/>
          <w:sz w:val="36"/>
          <w:szCs w:val="36"/>
        </w:rPr>
      </w:r>
      <w:r>
        <w:rPr>
          <w:rFonts w:ascii="黑体" w:eastAsia="黑体" w:hAnsi="黑体" w:cs="黑体"/>
          <w:b/>
          <w:bCs/>
          <w:sz w:val="36"/>
          <w:szCs w:val="36"/>
        </w:rPr>
        <w:fldChar w:fldCharType="end"/>
      </w:r>
      <w:r w:rsidR="00E9246D">
        <w:rPr>
          <w:rFonts w:ascii="黑体" w:eastAsia="黑体" w:hAnsi="黑体" w:cs="黑体" w:hint="eastAsia"/>
          <w:b/>
          <w:bCs/>
          <w:sz w:val="36"/>
          <w:szCs w:val="36"/>
        </w:rPr>
        <w:t>南京市财会教育中心</w:t>
      </w:r>
    </w:p>
    <w:p w:rsidR="00C02DB8" w:rsidRDefault="00632F36">
      <w:pPr>
        <w:jc w:val="center"/>
        <w:rPr>
          <w:rFonts w:ascii="黑体" w:eastAsia="黑体" w:hAnsi="黑体" w:cs="黑体"/>
          <w:sz w:val="28"/>
          <w:szCs w:val="28"/>
        </w:rPr>
      </w:pPr>
      <w:r>
        <w:rPr>
          <w:rFonts w:ascii="黑体" w:eastAsia="黑体" w:hAnsi="黑体" w:cs="黑体" w:hint="eastAsia"/>
          <w:b/>
          <w:bCs/>
          <w:sz w:val="36"/>
          <w:szCs w:val="36"/>
        </w:rPr>
        <w:t>2020</w:t>
      </w:r>
      <w:r w:rsidR="00E9246D">
        <w:rPr>
          <w:rFonts w:ascii="黑体" w:eastAsia="黑体" w:hAnsi="黑体" w:cs="黑体" w:hint="eastAsia"/>
          <w:b/>
          <w:bCs/>
          <w:sz w:val="36"/>
          <w:szCs w:val="36"/>
        </w:rPr>
        <w:t>年度部门整体绩效评价报告</w:t>
      </w:r>
    </w:p>
    <w:p w:rsidR="00C02DB8" w:rsidRDefault="00E9246D">
      <w:pPr>
        <w:numPr>
          <w:ilvl w:val="0"/>
          <w:numId w:val="1"/>
        </w:numPr>
        <w:rPr>
          <w:rFonts w:ascii="黑体" w:eastAsia="黑体" w:hAnsi="黑体" w:cs="黑体"/>
          <w:sz w:val="28"/>
          <w:szCs w:val="28"/>
        </w:rPr>
      </w:pPr>
      <w:r>
        <w:rPr>
          <w:rFonts w:ascii="黑体" w:eastAsia="黑体" w:hAnsi="黑体" w:cs="黑体" w:hint="eastAsia"/>
          <w:sz w:val="28"/>
          <w:szCs w:val="28"/>
        </w:rPr>
        <w:t>部门基本情况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（一）部门概况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1、部门职责</w:t>
      </w:r>
      <w:r w:rsidR="001A097A">
        <w:rPr>
          <w:rFonts w:ascii="黑体" w:eastAsia="黑体" w:hAnsi="黑体" w:cs="黑体" w:hint="eastAsia"/>
          <w:sz w:val="28"/>
          <w:szCs w:val="28"/>
        </w:rPr>
        <w:t>及工作任务</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南京市财会教育中心是市财政局下属事业单位，与南京市中华会计函授学校实行“两块牌子，一套机构”合署办公，在市编办登记为公益一类事业单位，实行差额拨款管理。</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根据南京市编办《关于同意南京市中华会计函授学校增挂“南京市财会教育中心”牌子的通知》（宁编办字【2005】16号）和《关于清理规范南京市财政局所属事业单位的通知》（宁编办字【2012】132号）文件要求，单位主要职责包括：</w:t>
      </w:r>
      <w:r w:rsidR="00135600">
        <w:rPr>
          <w:rFonts w:ascii="仿宋" w:eastAsia="仿宋" w:hAnsi="仿宋" w:cs="仿宋" w:hint="eastAsia"/>
          <w:sz w:val="28"/>
          <w:szCs w:val="28"/>
        </w:rPr>
        <w:t>实施全市财政系统干部培训工作，负责全市在职会计人员继续教育、岗位技术、会计法规制度及会计准则等培训工作。</w:t>
      </w:r>
      <w:r w:rsidR="001A097A">
        <w:rPr>
          <w:rFonts w:ascii="仿宋" w:eastAsia="仿宋" w:hAnsi="仿宋" w:cs="仿宋" w:hint="eastAsia"/>
          <w:sz w:val="28"/>
          <w:szCs w:val="28"/>
        </w:rPr>
        <w:t>目前，单位根据市财政局的整体工作部署，承担以下工作任务</w:t>
      </w:r>
      <w:r w:rsidR="00B71BF8">
        <w:rPr>
          <w:rFonts w:ascii="仿宋" w:eastAsia="仿宋" w:hAnsi="仿宋" w:cs="仿宋" w:hint="eastAsia"/>
          <w:sz w:val="28"/>
          <w:szCs w:val="28"/>
        </w:rPr>
        <w:t>：</w:t>
      </w:r>
    </w:p>
    <w:p w:rsidR="001A097A" w:rsidRDefault="001A097A">
      <w:pPr>
        <w:ind w:firstLineChars="200" w:firstLine="560"/>
        <w:rPr>
          <w:rFonts w:ascii="仿宋" w:eastAsia="仿宋" w:hAnsi="仿宋" w:cs="仿宋"/>
          <w:sz w:val="28"/>
          <w:szCs w:val="28"/>
        </w:rPr>
      </w:pPr>
      <w:r>
        <w:rPr>
          <w:rFonts w:ascii="仿宋" w:eastAsia="仿宋" w:hAnsi="仿宋" w:cs="仿宋" w:hint="eastAsia"/>
          <w:sz w:val="28"/>
          <w:szCs w:val="28"/>
        </w:rPr>
        <w:t>（1）配合</w:t>
      </w:r>
      <w:r w:rsidR="00B71BF8">
        <w:rPr>
          <w:rFonts w:ascii="仿宋" w:eastAsia="仿宋" w:hAnsi="仿宋" w:cs="仿宋" w:hint="eastAsia"/>
          <w:sz w:val="28"/>
          <w:szCs w:val="28"/>
        </w:rPr>
        <w:t>市财政</w:t>
      </w:r>
      <w:r>
        <w:rPr>
          <w:rFonts w:ascii="仿宋" w:eastAsia="仿宋" w:hAnsi="仿宋" w:cs="仿宋" w:hint="eastAsia"/>
          <w:sz w:val="28"/>
          <w:szCs w:val="28"/>
        </w:rPr>
        <w:t>局人教处组织开展财政干部培训工作、配合局农业农村处组织开展涉农镇街财政所干部培训工作</w:t>
      </w:r>
      <w:r w:rsidR="00B71BF8">
        <w:rPr>
          <w:rFonts w:ascii="仿宋" w:eastAsia="仿宋" w:hAnsi="仿宋" w:cs="仿宋" w:hint="eastAsia"/>
          <w:sz w:val="28"/>
          <w:szCs w:val="28"/>
        </w:rPr>
        <w:t>；</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（2）协助市财政局相关处室开展财政改革业务培训工作；</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（3）负责全市农村财会人员财政支农政策培训工作；</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（4）协助市财政局会计处开展全市会计人员继续教育培训工作；</w:t>
      </w:r>
    </w:p>
    <w:p w:rsidR="00B71BF8" w:rsidRP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（5）利用现有设备及资源承接会计专业技术资格（初、中、高级）考试任务。</w:t>
      </w:r>
    </w:p>
    <w:p w:rsidR="00C02DB8" w:rsidRDefault="00E9246D">
      <w:pPr>
        <w:ind w:firstLineChars="200" w:firstLine="560"/>
        <w:rPr>
          <w:rFonts w:ascii="仿宋" w:eastAsia="仿宋" w:hAnsi="仿宋" w:cs="仿宋"/>
          <w:sz w:val="28"/>
          <w:szCs w:val="28"/>
        </w:rPr>
      </w:pPr>
      <w:r>
        <w:rPr>
          <w:rFonts w:ascii="黑体" w:eastAsia="黑体" w:hAnsi="黑体" w:cs="黑体" w:hint="eastAsia"/>
          <w:sz w:val="28"/>
          <w:szCs w:val="28"/>
        </w:rPr>
        <w:lastRenderedPageBreak/>
        <w:t>2</w:t>
      </w:r>
      <w:r w:rsidR="00B71BF8">
        <w:rPr>
          <w:rFonts w:ascii="黑体" w:eastAsia="黑体" w:hAnsi="黑体" w:cs="黑体" w:hint="eastAsia"/>
          <w:sz w:val="28"/>
          <w:szCs w:val="28"/>
        </w:rPr>
        <w:t>、</w:t>
      </w:r>
      <w:r>
        <w:rPr>
          <w:rFonts w:ascii="黑体" w:eastAsia="黑体" w:hAnsi="黑体" w:cs="黑体" w:hint="eastAsia"/>
          <w:sz w:val="28"/>
          <w:szCs w:val="28"/>
        </w:rPr>
        <w:t>机构设置及人员情况</w:t>
      </w:r>
    </w:p>
    <w:p w:rsidR="00C02DB8" w:rsidRDefault="00E9246D">
      <w:pPr>
        <w:ind w:firstLineChars="200" w:firstLine="560"/>
        <w:rPr>
          <w:rFonts w:ascii="黑体" w:eastAsia="黑体" w:hAnsi="黑体" w:cs="黑体"/>
          <w:sz w:val="28"/>
          <w:szCs w:val="28"/>
        </w:rPr>
      </w:pPr>
      <w:r>
        <w:rPr>
          <w:rFonts w:ascii="仿宋" w:eastAsia="仿宋" w:hAnsi="仿宋" w:cs="仿宋" w:hint="eastAsia"/>
          <w:sz w:val="28"/>
          <w:szCs w:val="28"/>
        </w:rPr>
        <w:t>经市人社局和市编办批复，单位共设办公室、财会培训部、继续教育部、会计专业技术资格考试部4个机构。已有编制数14人，实际在岗在编</w:t>
      </w:r>
      <w:r w:rsidR="00AC57B5">
        <w:rPr>
          <w:rFonts w:ascii="仿宋" w:eastAsia="仿宋" w:hAnsi="仿宋" w:cs="仿宋" w:hint="eastAsia"/>
          <w:sz w:val="28"/>
          <w:szCs w:val="28"/>
        </w:rPr>
        <w:t>12</w:t>
      </w:r>
      <w:r>
        <w:rPr>
          <w:rFonts w:ascii="仿宋" w:eastAsia="仿宋" w:hAnsi="仿宋" w:cs="仿宋" w:hint="eastAsia"/>
          <w:sz w:val="28"/>
          <w:szCs w:val="28"/>
        </w:rPr>
        <w:t>人，编外人员</w:t>
      </w:r>
      <w:r w:rsidR="00AC57B5">
        <w:rPr>
          <w:rFonts w:ascii="仿宋" w:eastAsia="仿宋" w:hAnsi="仿宋" w:cs="仿宋" w:hint="eastAsia"/>
          <w:sz w:val="28"/>
          <w:szCs w:val="28"/>
        </w:rPr>
        <w:t>15</w:t>
      </w:r>
      <w:r>
        <w:rPr>
          <w:rFonts w:ascii="仿宋" w:eastAsia="仿宋" w:hAnsi="仿宋" w:cs="仿宋" w:hint="eastAsia"/>
          <w:sz w:val="28"/>
          <w:szCs w:val="28"/>
        </w:rPr>
        <w:t>名，退休人员14名。</w:t>
      </w:r>
    </w:p>
    <w:p w:rsidR="00C02DB8" w:rsidRDefault="00B71BF8">
      <w:pPr>
        <w:ind w:firstLineChars="200" w:firstLine="560"/>
        <w:rPr>
          <w:rFonts w:ascii="仿宋" w:eastAsia="仿宋" w:hAnsi="仿宋" w:cs="仿宋"/>
          <w:sz w:val="28"/>
          <w:szCs w:val="28"/>
        </w:rPr>
      </w:pPr>
      <w:r>
        <w:rPr>
          <w:rFonts w:ascii="黑体" w:eastAsia="黑体" w:hAnsi="黑体" w:cs="黑体" w:hint="eastAsia"/>
          <w:sz w:val="28"/>
          <w:szCs w:val="28"/>
        </w:rPr>
        <w:t>3</w:t>
      </w:r>
      <w:r w:rsidR="00E9246D">
        <w:rPr>
          <w:rFonts w:ascii="黑体" w:eastAsia="黑体" w:hAnsi="黑体" w:cs="黑体" w:hint="eastAsia"/>
          <w:sz w:val="28"/>
          <w:szCs w:val="28"/>
        </w:rPr>
        <w:t>、资产情况</w:t>
      </w:r>
    </w:p>
    <w:p w:rsidR="00C02DB8" w:rsidRPr="00632F36" w:rsidRDefault="00E9246D">
      <w:pPr>
        <w:ind w:firstLineChars="200" w:firstLine="560"/>
        <w:rPr>
          <w:rFonts w:ascii="仿宋" w:eastAsia="仿宋" w:hAnsi="仿宋" w:cs="仿宋"/>
          <w:sz w:val="28"/>
          <w:szCs w:val="28"/>
        </w:rPr>
      </w:pPr>
      <w:r w:rsidRPr="00632F36">
        <w:rPr>
          <w:rFonts w:ascii="仿宋" w:eastAsia="仿宋" w:hAnsi="仿宋" w:cs="仿宋" w:hint="eastAsia"/>
          <w:sz w:val="28"/>
          <w:szCs w:val="28"/>
        </w:rPr>
        <w:t>截止</w:t>
      </w:r>
      <w:r w:rsidR="00C52D71" w:rsidRPr="00632F36">
        <w:rPr>
          <w:rFonts w:ascii="仿宋" w:eastAsia="仿宋" w:hAnsi="仿宋" w:cs="仿宋" w:hint="eastAsia"/>
          <w:sz w:val="28"/>
          <w:szCs w:val="28"/>
        </w:rPr>
        <w:t>2020</w:t>
      </w:r>
      <w:r w:rsidRPr="00632F36">
        <w:rPr>
          <w:rFonts w:ascii="仿宋" w:eastAsia="仿宋" w:hAnsi="仿宋" w:cs="仿宋" w:hint="eastAsia"/>
          <w:sz w:val="28"/>
          <w:szCs w:val="28"/>
        </w:rPr>
        <w:t>年12月31日，单位资产共计</w:t>
      </w:r>
      <w:r w:rsidR="00C52D71" w:rsidRPr="00632F36">
        <w:rPr>
          <w:rFonts w:ascii="仿宋" w:eastAsia="仿宋" w:hAnsi="仿宋" w:cs="仿宋" w:hint="eastAsia"/>
          <w:sz w:val="28"/>
          <w:szCs w:val="28"/>
        </w:rPr>
        <w:t>2732.28</w:t>
      </w:r>
      <w:r w:rsidRPr="00632F36">
        <w:rPr>
          <w:rFonts w:ascii="仿宋" w:eastAsia="仿宋" w:hAnsi="仿宋" w:cs="仿宋" w:hint="eastAsia"/>
          <w:sz w:val="28"/>
          <w:szCs w:val="28"/>
        </w:rPr>
        <w:t>万元。其中流动资产共计</w:t>
      </w:r>
      <w:r w:rsidR="00C52D71" w:rsidRPr="00632F36">
        <w:rPr>
          <w:rFonts w:ascii="仿宋" w:eastAsia="仿宋" w:hAnsi="仿宋" w:cs="仿宋" w:hint="eastAsia"/>
          <w:sz w:val="28"/>
          <w:szCs w:val="28"/>
        </w:rPr>
        <w:t>2544.67</w:t>
      </w:r>
      <w:r w:rsidRPr="00632F36">
        <w:rPr>
          <w:rFonts w:ascii="仿宋" w:eastAsia="仿宋" w:hAnsi="仿宋" w:cs="仿宋" w:hint="eastAsia"/>
          <w:sz w:val="28"/>
          <w:szCs w:val="28"/>
        </w:rPr>
        <w:t>万元，非流动资产共计</w:t>
      </w:r>
      <w:r w:rsidR="00C52D71" w:rsidRPr="00632F36">
        <w:rPr>
          <w:rFonts w:ascii="仿宋" w:eastAsia="仿宋" w:hAnsi="仿宋" w:cs="仿宋" w:hint="eastAsia"/>
          <w:sz w:val="28"/>
          <w:szCs w:val="28"/>
        </w:rPr>
        <w:t>187.61</w:t>
      </w:r>
      <w:r w:rsidRPr="00632F36">
        <w:rPr>
          <w:rFonts w:ascii="仿宋" w:eastAsia="仿宋" w:hAnsi="仿宋" w:cs="仿宋" w:hint="eastAsia"/>
          <w:sz w:val="28"/>
          <w:szCs w:val="28"/>
        </w:rPr>
        <w:t>万元，流动资产占比达</w:t>
      </w:r>
      <w:r w:rsidR="00C52D71" w:rsidRPr="00632F36">
        <w:rPr>
          <w:rFonts w:ascii="仿宋" w:eastAsia="仿宋" w:hAnsi="仿宋" w:cs="仿宋" w:hint="eastAsia"/>
          <w:sz w:val="28"/>
          <w:szCs w:val="28"/>
        </w:rPr>
        <w:t>93</w:t>
      </w:r>
      <w:r w:rsidRPr="00632F36">
        <w:rPr>
          <w:rFonts w:ascii="仿宋" w:eastAsia="仿宋" w:hAnsi="仿宋" w:cs="仿宋" w:hint="eastAsia"/>
          <w:sz w:val="28"/>
          <w:szCs w:val="28"/>
        </w:rPr>
        <w:t>%，主要为货币资金。</w:t>
      </w:r>
    </w:p>
    <w:p w:rsidR="00C02DB8" w:rsidRPr="00632F36" w:rsidRDefault="00E9246D">
      <w:pPr>
        <w:numPr>
          <w:ilvl w:val="0"/>
          <w:numId w:val="4"/>
        </w:numPr>
        <w:ind w:firstLineChars="200" w:firstLine="560"/>
        <w:rPr>
          <w:rFonts w:ascii="黑体" w:eastAsia="黑体" w:hAnsi="黑体" w:cs="黑体"/>
          <w:sz w:val="28"/>
          <w:szCs w:val="28"/>
        </w:rPr>
      </w:pPr>
      <w:r w:rsidRPr="00632F36">
        <w:rPr>
          <w:rFonts w:ascii="黑体" w:eastAsia="黑体" w:hAnsi="黑体" w:cs="黑体" w:hint="eastAsia"/>
          <w:sz w:val="28"/>
          <w:szCs w:val="28"/>
        </w:rPr>
        <w:t>部门资金情况</w:t>
      </w:r>
    </w:p>
    <w:p w:rsidR="00C02DB8" w:rsidRPr="00632F36" w:rsidRDefault="00E9246D">
      <w:pPr>
        <w:ind w:firstLineChars="200" w:firstLine="560"/>
        <w:rPr>
          <w:rFonts w:ascii="仿宋" w:eastAsia="仿宋" w:hAnsi="仿宋" w:cs="仿宋"/>
          <w:sz w:val="28"/>
          <w:szCs w:val="28"/>
        </w:rPr>
      </w:pPr>
      <w:r w:rsidRPr="00632F36">
        <w:rPr>
          <w:rFonts w:ascii="仿宋" w:eastAsia="仿宋" w:hAnsi="仿宋" w:cs="仿宋" w:hint="eastAsia"/>
          <w:sz w:val="28"/>
          <w:szCs w:val="28"/>
        </w:rPr>
        <w:t>财会教育中心</w:t>
      </w:r>
      <w:r w:rsidR="001534EF" w:rsidRPr="00632F36">
        <w:rPr>
          <w:rFonts w:ascii="仿宋" w:eastAsia="仿宋" w:hAnsi="仿宋" w:cs="仿宋" w:hint="eastAsia"/>
          <w:sz w:val="28"/>
          <w:szCs w:val="28"/>
        </w:rPr>
        <w:t>2020</w:t>
      </w:r>
      <w:r w:rsidRPr="00632F36">
        <w:rPr>
          <w:rFonts w:ascii="仿宋" w:eastAsia="仿宋" w:hAnsi="仿宋" w:cs="仿宋" w:hint="eastAsia"/>
          <w:sz w:val="28"/>
          <w:szCs w:val="28"/>
        </w:rPr>
        <w:t>年度收入支出情况如下表所示：</w:t>
      </w:r>
    </w:p>
    <w:p w:rsidR="00C02DB8" w:rsidRPr="00632F36" w:rsidRDefault="001534EF">
      <w:pPr>
        <w:jc w:val="center"/>
        <w:rPr>
          <w:rFonts w:ascii="仿宋" w:eastAsia="仿宋" w:hAnsi="仿宋" w:cs="仿宋"/>
          <w:b/>
          <w:bCs/>
          <w:sz w:val="28"/>
          <w:szCs w:val="28"/>
        </w:rPr>
      </w:pPr>
      <w:r w:rsidRPr="00632F36">
        <w:rPr>
          <w:rFonts w:ascii="仿宋" w:eastAsia="仿宋" w:hAnsi="仿宋" w:cs="仿宋" w:hint="eastAsia"/>
          <w:b/>
          <w:bCs/>
          <w:sz w:val="28"/>
          <w:szCs w:val="28"/>
        </w:rPr>
        <w:t>2020</w:t>
      </w:r>
      <w:r w:rsidR="00E9246D" w:rsidRPr="00632F36">
        <w:rPr>
          <w:rFonts w:ascii="仿宋" w:eastAsia="仿宋" w:hAnsi="仿宋" w:cs="仿宋" w:hint="eastAsia"/>
          <w:b/>
          <w:bCs/>
          <w:sz w:val="28"/>
          <w:szCs w:val="28"/>
        </w:rPr>
        <w:t>年收入支出表</w:t>
      </w:r>
    </w:p>
    <w:p w:rsidR="00C02DB8" w:rsidRPr="00632F36" w:rsidRDefault="00E9246D">
      <w:pPr>
        <w:jc w:val="right"/>
        <w:rPr>
          <w:rFonts w:ascii="仿宋" w:eastAsia="仿宋" w:hAnsi="仿宋" w:cs="仿宋"/>
          <w:sz w:val="28"/>
          <w:szCs w:val="28"/>
        </w:rPr>
      </w:pPr>
      <w:r w:rsidRPr="00632F36">
        <w:rPr>
          <w:rFonts w:ascii="仿宋" w:eastAsia="仿宋" w:hAnsi="仿宋" w:cs="仿宋" w:hint="eastAsia"/>
          <w:sz w:val="24"/>
        </w:rPr>
        <w:t>单位：万元</w:t>
      </w:r>
    </w:p>
    <w:tbl>
      <w:tblPr>
        <w:tblStyle w:val="a6"/>
        <w:tblW w:w="0" w:type="auto"/>
        <w:tblLook w:val="04A0"/>
      </w:tblPr>
      <w:tblGrid>
        <w:gridCol w:w="1192"/>
        <w:gridCol w:w="2043"/>
        <w:gridCol w:w="1025"/>
        <w:gridCol w:w="1193"/>
        <w:gridCol w:w="2042"/>
        <w:gridCol w:w="1027"/>
      </w:tblGrid>
      <w:tr w:rsidR="00C02DB8" w:rsidRPr="00632F36">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收入</w:t>
            </w:r>
          </w:p>
        </w:tc>
        <w:tc>
          <w:tcPr>
            <w:tcW w:w="1025" w:type="dxa"/>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金额</w:t>
            </w:r>
          </w:p>
        </w:tc>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支出</w:t>
            </w:r>
          </w:p>
        </w:tc>
        <w:tc>
          <w:tcPr>
            <w:tcW w:w="1027" w:type="dxa"/>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金额</w:t>
            </w:r>
          </w:p>
        </w:tc>
      </w:tr>
      <w:tr w:rsidR="00C02DB8" w:rsidRPr="00632F36">
        <w:tc>
          <w:tcPr>
            <w:tcW w:w="1192" w:type="dxa"/>
            <w:vMerge w:val="restart"/>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财政拨款收入</w:t>
            </w:r>
          </w:p>
        </w:tc>
        <w:tc>
          <w:tcPr>
            <w:tcW w:w="2043"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基本收入</w:t>
            </w:r>
          </w:p>
        </w:tc>
        <w:tc>
          <w:tcPr>
            <w:tcW w:w="1025" w:type="dxa"/>
            <w:vAlign w:val="center"/>
          </w:tcPr>
          <w:p w:rsidR="00C02DB8" w:rsidRPr="00632F36" w:rsidRDefault="001534EF" w:rsidP="001534EF">
            <w:pPr>
              <w:jc w:val="right"/>
              <w:rPr>
                <w:rFonts w:ascii="仿宋" w:eastAsia="仿宋" w:hAnsi="仿宋" w:cs="仿宋"/>
                <w:sz w:val="24"/>
              </w:rPr>
            </w:pPr>
            <w:r w:rsidRPr="00632F36">
              <w:rPr>
                <w:rFonts w:ascii="仿宋" w:eastAsia="仿宋" w:hAnsi="仿宋" w:cs="仿宋"/>
                <w:sz w:val="24"/>
              </w:rPr>
              <w:t>3</w:t>
            </w:r>
            <w:r w:rsidRPr="00632F36">
              <w:rPr>
                <w:rFonts w:ascii="仿宋" w:eastAsia="仿宋" w:hAnsi="仿宋" w:cs="仿宋" w:hint="eastAsia"/>
                <w:sz w:val="24"/>
              </w:rPr>
              <w:t>45.95</w:t>
            </w:r>
          </w:p>
        </w:tc>
        <w:tc>
          <w:tcPr>
            <w:tcW w:w="1193" w:type="dxa"/>
            <w:vMerge w:val="restart"/>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财政拨款支出</w:t>
            </w:r>
          </w:p>
        </w:tc>
        <w:tc>
          <w:tcPr>
            <w:tcW w:w="204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基本支出</w:t>
            </w:r>
          </w:p>
        </w:tc>
        <w:tc>
          <w:tcPr>
            <w:tcW w:w="1027" w:type="dxa"/>
            <w:vAlign w:val="center"/>
          </w:tcPr>
          <w:p w:rsidR="00C02DB8" w:rsidRPr="00632F36" w:rsidRDefault="000E70E9">
            <w:pPr>
              <w:jc w:val="right"/>
              <w:rPr>
                <w:rFonts w:ascii="仿宋" w:eastAsia="仿宋" w:hAnsi="仿宋" w:cs="仿宋"/>
                <w:sz w:val="24"/>
              </w:rPr>
            </w:pPr>
            <w:r w:rsidRPr="00632F36">
              <w:rPr>
                <w:rFonts w:ascii="仿宋" w:eastAsia="仿宋" w:hAnsi="仿宋" w:cs="仿宋" w:hint="eastAsia"/>
                <w:sz w:val="24"/>
              </w:rPr>
              <w:t>345.95</w:t>
            </w:r>
          </w:p>
        </w:tc>
      </w:tr>
      <w:tr w:rsidR="00C02DB8" w:rsidRPr="00632F36">
        <w:tc>
          <w:tcPr>
            <w:tcW w:w="1192" w:type="dxa"/>
            <w:vMerge/>
            <w:vAlign w:val="center"/>
          </w:tcPr>
          <w:p w:rsidR="00C02DB8" w:rsidRPr="00632F36" w:rsidRDefault="00C02DB8">
            <w:pPr>
              <w:jc w:val="left"/>
              <w:rPr>
                <w:rFonts w:ascii="仿宋" w:eastAsia="仿宋" w:hAnsi="仿宋" w:cs="仿宋"/>
                <w:sz w:val="24"/>
              </w:rPr>
            </w:pPr>
          </w:p>
        </w:tc>
        <w:tc>
          <w:tcPr>
            <w:tcW w:w="2043"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项目收入</w:t>
            </w:r>
          </w:p>
        </w:tc>
        <w:tc>
          <w:tcPr>
            <w:tcW w:w="1025" w:type="dxa"/>
            <w:vAlign w:val="center"/>
          </w:tcPr>
          <w:p w:rsidR="00C02DB8" w:rsidRPr="00632F36" w:rsidRDefault="000E70E9" w:rsidP="000E70E9">
            <w:pPr>
              <w:jc w:val="right"/>
              <w:rPr>
                <w:rFonts w:ascii="仿宋" w:eastAsia="仿宋" w:hAnsi="仿宋" w:cs="仿宋"/>
                <w:sz w:val="24"/>
              </w:rPr>
            </w:pPr>
            <w:r w:rsidRPr="00632F36">
              <w:rPr>
                <w:rFonts w:ascii="仿宋" w:eastAsia="仿宋" w:hAnsi="仿宋" w:cs="仿宋" w:hint="eastAsia"/>
                <w:sz w:val="24"/>
              </w:rPr>
              <w:t>69.32</w:t>
            </w:r>
          </w:p>
        </w:tc>
        <w:tc>
          <w:tcPr>
            <w:tcW w:w="1193" w:type="dxa"/>
            <w:vMerge/>
            <w:vAlign w:val="center"/>
          </w:tcPr>
          <w:p w:rsidR="00C02DB8" w:rsidRPr="00632F36" w:rsidRDefault="00C02DB8">
            <w:pPr>
              <w:jc w:val="left"/>
              <w:rPr>
                <w:rFonts w:ascii="仿宋" w:eastAsia="仿宋" w:hAnsi="仿宋" w:cs="仿宋"/>
                <w:sz w:val="24"/>
              </w:rPr>
            </w:pPr>
          </w:p>
        </w:tc>
        <w:tc>
          <w:tcPr>
            <w:tcW w:w="204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项目支出</w:t>
            </w:r>
          </w:p>
        </w:tc>
        <w:tc>
          <w:tcPr>
            <w:tcW w:w="1027" w:type="dxa"/>
            <w:vAlign w:val="center"/>
          </w:tcPr>
          <w:p w:rsidR="00C02DB8" w:rsidRPr="00632F36" w:rsidRDefault="000E70E9">
            <w:pPr>
              <w:jc w:val="right"/>
              <w:rPr>
                <w:rFonts w:ascii="仿宋" w:eastAsia="仿宋" w:hAnsi="仿宋" w:cs="仿宋"/>
                <w:sz w:val="24"/>
              </w:rPr>
            </w:pPr>
            <w:r w:rsidRPr="00632F36">
              <w:rPr>
                <w:rFonts w:ascii="仿宋" w:eastAsia="仿宋" w:hAnsi="仿宋" w:cs="仿宋" w:hint="eastAsia"/>
                <w:sz w:val="24"/>
              </w:rPr>
              <w:t>69.32</w:t>
            </w:r>
          </w:p>
        </w:tc>
      </w:tr>
      <w:tr w:rsidR="00C02DB8" w:rsidRPr="00632F36">
        <w:tc>
          <w:tcPr>
            <w:tcW w:w="119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事业收入</w:t>
            </w:r>
          </w:p>
        </w:tc>
        <w:tc>
          <w:tcPr>
            <w:tcW w:w="2043"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培训代垫结算款</w:t>
            </w:r>
          </w:p>
        </w:tc>
        <w:tc>
          <w:tcPr>
            <w:tcW w:w="1025" w:type="dxa"/>
            <w:vAlign w:val="center"/>
          </w:tcPr>
          <w:p w:rsidR="00C02DB8" w:rsidRPr="00632F36" w:rsidRDefault="00C02DB8">
            <w:pPr>
              <w:jc w:val="right"/>
              <w:rPr>
                <w:rFonts w:ascii="仿宋" w:eastAsia="仿宋" w:hAnsi="仿宋" w:cs="仿宋"/>
                <w:sz w:val="24"/>
              </w:rPr>
            </w:pPr>
          </w:p>
        </w:tc>
        <w:tc>
          <w:tcPr>
            <w:tcW w:w="1193" w:type="dxa"/>
            <w:vMerge w:val="restart"/>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事业支出</w:t>
            </w:r>
          </w:p>
        </w:tc>
        <w:tc>
          <w:tcPr>
            <w:tcW w:w="204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基本支出</w:t>
            </w:r>
          </w:p>
        </w:tc>
        <w:tc>
          <w:tcPr>
            <w:tcW w:w="1027" w:type="dxa"/>
            <w:vAlign w:val="center"/>
          </w:tcPr>
          <w:p w:rsidR="00C02DB8" w:rsidRPr="00632F36" w:rsidRDefault="000E70E9">
            <w:pPr>
              <w:jc w:val="right"/>
              <w:rPr>
                <w:rFonts w:ascii="仿宋" w:eastAsia="仿宋" w:hAnsi="仿宋" w:cs="仿宋"/>
                <w:sz w:val="24"/>
              </w:rPr>
            </w:pPr>
            <w:r w:rsidRPr="00632F36">
              <w:rPr>
                <w:rFonts w:ascii="仿宋" w:eastAsia="仿宋" w:hAnsi="仿宋" w:cs="仿宋" w:hint="eastAsia"/>
                <w:sz w:val="24"/>
              </w:rPr>
              <w:t>186.47</w:t>
            </w:r>
          </w:p>
        </w:tc>
      </w:tr>
      <w:tr w:rsidR="00C02DB8" w:rsidRPr="00632F36">
        <w:tc>
          <w:tcPr>
            <w:tcW w:w="119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其他收入</w:t>
            </w:r>
          </w:p>
        </w:tc>
        <w:tc>
          <w:tcPr>
            <w:tcW w:w="2043"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账户利息收入</w:t>
            </w:r>
          </w:p>
        </w:tc>
        <w:tc>
          <w:tcPr>
            <w:tcW w:w="1025" w:type="dxa"/>
            <w:vAlign w:val="center"/>
          </w:tcPr>
          <w:p w:rsidR="00C02DB8" w:rsidRPr="00632F36" w:rsidRDefault="000E70E9">
            <w:pPr>
              <w:jc w:val="right"/>
              <w:rPr>
                <w:rFonts w:ascii="仿宋" w:eastAsia="仿宋" w:hAnsi="仿宋" w:cs="仿宋"/>
                <w:sz w:val="24"/>
              </w:rPr>
            </w:pPr>
            <w:r w:rsidRPr="00632F36">
              <w:rPr>
                <w:rFonts w:ascii="仿宋" w:eastAsia="仿宋" w:hAnsi="仿宋" w:cs="仿宋" w:hint="eastAsia"/>
                <w:sz w:val="24"/>
              </w:rPr>
              <w:t>7.82</w:t>
            </w:r>
          </w:p>
        </w:tc>
        <w:tc>
          <w:tcPr>
            <w:tcW w:w="1193" w:type="dxa"/>
            <w:vMerge/>
            <w:vAlign w:val="center"/>
          </w:tcPr>
          <w:p w:rsidR="00C02DB8" w:rsidRPr="00632F36" w:rsidRDefault="00C02DB8">
            <w:pPr>
              <w:jc w:val="left"/>
              <w:rPr>
                <w:rFonts w:ascii="仿宋" w:eastAsia="仿宋" w:hAnsi="仿宋" w:cs="仿宋"/>
                <w:sz w:val="24"/>
              </w:rPr>
            </w:pPr>
          </w:p>
        </w:tc>
        <w:tc>
          <w:tcPr>
            <w:tcW w:w="2042" w:type="dxa"/>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项目支出</w:t>
            </w:r>
          </w:p>
        </w:tc>
        <w:tc>
          <w:tcPr>
            <w:tcW w:w="1027" w:type="dxa"/>
            <w:vAlign w:val="center"/>
          </w:tcPr>
          <w:p w:rsidR="00C02DB8" w:rsidRPr="00632F36" w:rsidRDefault="00C02DB8">
            <w:pPr>
              <w:jc w:val="right"/>
              <w:rPr>
                <w:rFonts w:ascii="仿宋" w:eastAsia="仿宋" w:hAnsi="仿宋" w:cs="仿宋"/>
                <w:sz w:val="24"/>
              </w:rPr>
            </w:pPr>
          </w:p>
        </w:tc>
      </w:tr>
      <w:tr w:rsidR="00C02DB8" w:rsidRPr="00632F36">
        <w:tc>
          <w:tcPr>
            <w:tcW w:w="1192" w:type="dxa"/>
            <w:vAlign w:val="center"/>
          </w:tcPr>
          <w:p w:rsidR="00C02DB8" w:rsidRPr="00632F36" w:rsidRDefault="00C02DB8">
            <w:pPr>
              <w:jc w:val="left"/>
              <w:rPr>
                <w:rFonts w:ascii="仿宋" w:eastAsia="仿宋" w:hAnsi="仿宋" w:cs="仿宋"/>
                <w:sz w:val="24"/>
              </w:rPr>
            </w:pPr>
          </w:p>
        </w:tc>
        <w:tc>
          <w:tcPr>
            <w:tcW w:w="2043" w:type="dxa"/>
            <w:vAlign w:val="center"/>
          </w:tcPr>
          <w:p w:rsidR="00C02DB8" w:rsidRPr="00632F36" w:rsidRDefault="00C02DB8">
            <w:pPr>
              <w:jc w:val="left"/>
              <w:rPr>
                <w:rFonts w:ascii="仿宋" w:eastAsia="仿宋" w:hAnsi="仿宋" w:cs="仿宋"/>
                <w:sz w:val="24"/>
              </w:rPr>
            </w:pPr>
          </w:p>
        </w:tc>
        <w:tc>
          <w:tcPr>
            <w:tcW w:w="1025" w:type="dxa"/>
            <w:vAlign w:val="center"/>
          </w:tcPr>
          <w:p w:rsidR="00C02DB8" w:rsidRPr="00632F36" w:rsidRDefault="00C02DB8">
            <w:pPr>
              <w:jc w:val="right"/>
              <w:rPr>
                <w:rFonts w:ascii="仿宋" w:eastAsia="仿宋" w:hAnsi="仿宋" w:cs="仿宋"/>
                <w:sz w:val="24"/>
              </w:rPr>
            </w:pPr>
          </w:p>
        </w:tc>
        <w:tc>
          <w:tcPr>
            <w:tcW w:w="3235" w:type="dxa"/>
            <w:gridSpan w:val="2"/>
            <w:vAlign w:val="center"/>
          </w:tcPr>
          <w:p w:rsidR="00C02DB8" w:rsidRPr="00632F36" w:rsidRDefault="00E9246D">
            <w:pPr>
              <w:jc w:val="left"/>
              <w:rPr>
                <w:rFonts w:ascii="仿宋" w:eastAsia="仿宋" w:hAnsi="仿宋" w:cs="仿宋"/>
                <w:sz w:val="24"/>
              </w:rPr>
            </w:pPr>
            <w:r w:rsidRPr="00632F36">
              <w:rPr>
                <w:rFonts w:ascii="仿宋" w:eastAsia="仿宋" w:hAnsi="仿宋" w:cs="仿宋"/>
                <w:sz w:val="24"/>
              </w:rPr>
              <w:t>固定资产折旧</w:t>
            </w:r>
            <w:r w:rsidRPr="00632F36">
              <w:rPr>
                <w:rFonts w:ascii="仿宋" w:eastAsia="仿宋" w:hAnsi="仿宋" w:cs="仿宋" w:hint="eastAsia"/>
                <w:sz w:val="24"/>
              </w:rPr>
              <w:t>费</w:t>
            </w:r>
          </w:p>
        </w:tc>
        <w:tc>
          <w:tcPr>
            <w:tcW w:w="1027" w:type="dxa"/>
            <w:vAlign w:val="center"/>
          </w:tcPr>
          <w:p w:rsidR="00C02DB8" w:rsidRPr="00632F36" w:rsidRDefault="000E70E9">
            <w:pPr>
              <w:jc w:val="right"/>
              <w:rPr>
                <w:rFonts w:ascii="仿宋" w:eastAsia="仿宋" w:hAnsi="仿宋" w:cs="仿宋"/>
                <w:sz w:val="24"/>
              </w:rPr>
            </w:pPr>
            <w:r w:rsidRPr="00632F36">
              <w:rPr>
                <w:rFonts w:ascii="仿宋" w:eastAsia="仿宋" w:hAnsi="仿宋" w:cs="仿宋" w:hint="eastAsia"/>
                <w:sz w:val="24"/>
              </w:rPr>
              <w:t>56.27</w:t>
            </w:r>
          </w:p>
        </w:tc>
      </w:tr>
      <w:tr w:rsidR="00C02DB8" w:rsidRPr="00632F36">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b/>
                <w:bCs/>
                <w:sz w:val="24"/>
              </w:rPr>
              <w:t>总计</w:t>
            </w:r>
          </w:p>
        </w:tc>
        <w:tc>
          <w:tcPr>
            <w:tcW w:w="1025" w:type="dxa"/>
            <w:vAlign w:val="center"/>
          </w:tcPr>
          <w:p w:rsidR="00C02DB8" w:rsidRPr="00632F36" w:rsidRDefault="000E70E9">
            <w:pPr>
              <w:jc w:val="right"/>
              <w:rPr>
                <w:rFonts w:ascii="仿宋" w:eastAsia="仿宋" w:hAnsi="仿宋" w:cs="仿宋"/>
                <w:b/>
                <w:bCs/>
                <w:sz w:val="24"/>
              </w:rPr>
            </w:pPr>
            <w:r w:rsidRPr="00632F36">
              <w:rPr>
                <w:rFonts w:ascii="仿宋" w:eastAsia="仿宋" w:hAnsi="仿宋" w:cs="仿宋" w:hint="eastAsia"/>
                <w:b/>
                <w:bCs/>
                <w:sz w:val="24"/>
              </w:rPr>
              <w:t>423.09</w:t>
            </w:r>
          </w:p>
        </w:tc>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b/>
                <w:bCs/>
                <w:sz w:val="24"/>
              </w:rPr>
              <w:t>总计</w:t>
            </w:r>
          </w:p>
        </w:tc>
        <w:tc>
          <w:tcPr>
            <w:tcW w:w="1027" w:type="dxa"/>
            <w:vAlign w:val="center"/>
          </w:tcPr>
          <w:p w:rsidR="00C02DB8" w:rsidRPr="00632F36" w:rsidRDefault="000E70E9">
            <w:pPr>
              <w:jc w:val="right"/>
              <w:rPr>
                <w:rFonts w:ascii="仿宋" w:eastAsia="仿宋" w:hAnsi="仿宋" w:cs="仿宋"/>
                <w:b/>
                <w:bCs/>
                <w:sz w:val="24"/>
              </w:rPr>
            </w:pPr>
            <w:r w:rsidRPr="00632F36">
              <w:rPr>
                <w:rFonts w:ascii="仿宋" w:eastAsia="仿宋" w:hAnsi="仿宋" w:cs="仿宋" w:hint="eastAsia"/>
                <w:b/>
                <w:bCs/>
                <w:sz w:val="24"/>
              </w:rPr>
              <w:t>658.01</w:t>
            </w:r>
          </w:p>
        </w:tc>
      </w:tr>
    </w:tbl>
    <w:p w:rsidR="00C02DB8" w:rsidRPr="00632F36" w:rsidRDefault="00E9246D" w:rsidP="00270F34">
      <w:pPr>
        <w:spacing w:line="480" w:lineRule="auto"/>
        <w:rPr>
          <w:rFonts w:ascii="仿宋" w:eastAsia="仿宋" w:hAnsi="仿宋" w:cs="仿宋"/>
          <w:sz w:val="24"/>
        </w:rPr>
      </w:pPr>
      <w:r w:rsidRPr="00632F36">
        <w:rPr>
          <w:rFonts w:ascii="仿宋" w:eastAsia="仿宋" w:hAnsi="仿宋" w:cs="仿宋" w:hint="eastAsia"/>
          <w:sz w:val="24"/>
        </w:rPr>
        <w:t>（注明：超支</w:t>
      </w:r>
      <w:r w:rsidR="000E70E9" w:rsidRPr="00632F36">
        <w:rPr>
          <w:rFonts w:ascii="仿宋" w:eastAsia="仿宋" w:hAnsi="仿宋" w:cs="仿宋" w:hint="eastAsia"/>
          <w:sz w:val="24"/>
        </w:rPr>
        <w:t>234.92</w:t>
      </w:r>
      <w:r w:rsidRPr="00632F36">
        <w:rPr>
          <w:rFonts w:ascii="仿宋" w:eastAsia="仿宋" w:hAnsi="仿宋" w:cs="仿宋" w:hint="eastAsia"/>
          <w:sz w:val="24"/>
        </w:rPr>
        <w:t>万元由事业单位以前年度基金弥补）</w:t>
      </w:r>
    </w:p>
    <w:p w:rsidR="00C02DB8" w:rsidRDefault="00E9246D">
      <w:pPr>
        <w:spacing w:line="480" w:lineRule="auto"/>
        <w:ind w:firstLineChars="200" w:firstLine="560"/>
        <w:rPr>
          <w:rFonts w:ascii="黑体" w:eastAsia="黑体" w:hAnsi="黑体" w:cs="黑体"/>
          <w:sz w:val="28"/>
          <w:szCs w:val="28"/>
        </w:rPr>
      </w:pPr>
      <w:r>
        <w:rPr>
          <w:rFonts w:ascii="黑体" w:eastAsia="黑体" w:hAnsi="黑体" w:cs="黑体" w:hint="eastAsia"/>
          <w:sz w:val="28"/>
          <w:szCs w:val="28"/>
        </w:rPr>
        <w:t>（三）部门绩效目标</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1、部门战略目标</w:t>
      </w:r>
    </w:p>
    <w:p w:rsidR="00263F66" w:rsidRDefault="00C62B55">
      <w:pPr>
        <w:ind w:firstLineChars="200" w:firstLine="560"/>
        <w:rPr>
          <w:rFonts w:ascii="仿宋" w:eastAsia="仿宋" w:hAnsi="仿宋" w:cs="仿宋"/>
          <w:sz w:val="28"/>
          <w:szCs w:val="28"/>
        </w:rPr>
      </w:pPr>
      <w:r>
        <w:rPr>
          <w:rFonts w:ascii="仿宋" w:eastAsia="仿宋" w:hAnsi="仿宋" w:cs="仿宋" w:hint="eastAsia"/>
          <w:sz w:val="28"/>
          <w:szCs w:val="28"/>
        </w:rPr>
        <w:t>切实履行好财政干部和财会人员培训职责，坚持以人为本的培训理念，不断创新培训手段和培训方式，丰富培训内容，优化培训管理，整合培训资源，提高培训工作的针对性和有效性，积极为财政改革发展和财政干部队伍建设、财会人员队伍建设服务。</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lastRenderedPageBreak/>
        <w:t>2、中长期阶段性目标</w:t>
      </w:r>
    </w:p>
    <w:p w:rsidR="00FA4B45" w:rsidRDefault="00176AD9">
      <w:pPr>
        <w:ind w:firstLineChars="200" w:firstLine="560"/>
        <w:rPr>
          <w:rFonts w:ascii="仿宋" w:eastAsia="仿宋" w:hAnsi="仿宋" w:cs="仿宋"/>
          <w:sz w:val="28"/>
          <w:szCs w:val="28"/>
        </w:rPr>
      </w:pPr>
      <w:r>
        <w:rPr>
          <w:rFonts w:ascii="仿宋" w:eastAsia="仿宋" w:hAnsi="仿宋" w:cs="仿宋" w:hint="eastAsia"/>
          <w:sz w:val="28"/>
          <w:szCs w:val="28"/>
        </w:rPr>
        <w:t>协助建立财政干部培训规划和财会人员队伍培训规划，科学安排今后3年内干部培训工作。针对目前单位干部队伍结构不合理的现状，把好干部招聘关</w:t>
      </w:r>
      <w:r w:rsidR="00FF1A28">
        <w:rPr>
          <w:rFonts w:ascii="仿宋" w:eastAsia="仿宋" w:hAnsi="仿宋" w:cs="仿宋" w:hint="eastAsia"/>
          <w:sz w:val="28"/>
          <w:szCs w:val="28"/>
        </w:rPr>
        <w:t>，加强对年轻人的培养，</w:t>
      </w:r>
      <w:r w:rsidR="00692517">
        <w:rPr>
          <w:rFonts w:ascii="仿宋" w:eastAsia="仿宋" w:hAnsi="仿宋" w:cs="仿宋" w:hint="eastAsia"/>
          <w:sz w:val="28"/>
          <w:szCs w:val="28"/>
        </w:rPr>
        <w:t>5年内，建立一支适应新时代财政改革发展要求的培训管理干部队伍。围绕财政中心工作，不断拓展服务财政新业务，进一步推动单位转型发展。</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3、</w:t>
      </w:r>
      <w:r w:rsidR="00323582">
        <w:rPr>
          <w:rFonts w:ascii="黑体" w:eastAsia="黑体" w:hAnsi="黑体" w:cs="黑体" w:hint="eastAsia"/>
          <w:sz w:val="28"/>
          <w:szCs w:val="28"/>
        </w:rPr>
        <w:t>2020</w:t>
      </w:r>
      <w:r>
        <w:rPr>
          <w:rFonts w:ascii="黑体" w:eastAsia="黑体" w:hAnsi="黑体" w:cs="黑体" w:hint="eastAsia"/>
          <w:sz w:val="28"/>
          <w:szCs w:val="28"/>
        </w:rPr>
        <w:t>年度绩效目标</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（1）组织财政干部培训和财政改革业务培训人数达</w:t>
      </w:r>
      <w:r w:rsidR="00090DA9">
        <w:rPr>
          <w:rFonts w:ascii="仿宋" w:eastAsia="仿宋" w:hAnsi="仿宋" w:cs="仿宋" w:hint="eastAsia"/>
          <w:sz w:val="28"/>
          <w:szCs w:val="28"/>
        </w:rPr>
        <w:t>3</w:t>
      </w:r>
      <w:r>
        <w:rPr>
          <w:rFonts w:ascii="仿宋" w:eastAsia="仿宋" w:hAnsi="仿宋" w:cs="仿宋" w:hint="eastAsia"/>
          <w:sz w:val="28"/>
          <w:szCs w:val="28"/>
        </w:rPr>
        <w:t>000人以上；</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（2）组织实施行政事业单位会计人员继续教育培训，组织开展全市会计人员网络继续教育培训；</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（3）组织实施全市农村财会人员财政支农政策培训；</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（4）承担会计专业技术资格考试工作，圆满完成考试任务；</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（5）制定预算绩效管理计划，提升财政资金使用效益。</w:t>
      </w:r>
    </w:p>
    <w:p w:rsidR="00C02DB8" w:rsidRDefault="00E9246D">
      <w:pPr>
        <w:numPr>
          <w:ilvl w:val="0"/>
          <w:numId w:val="5"/>
        </w:numPr>
        <w:rPr>
          <w:rFonts w:ascii="黑体" w:eastAsia="黑体" w:hAnsi="黑体" w:cs="黑体"/>
          <w:sz w:val="28"/>
          <w:szCs w:val="28"/>
        </w:rPr>
      </w:pPr>
      <w:r>
        <w:rPr>
          <w:rFonts w:ascii="黑体" w:eastAsia="黑体" w:hAnsi="黑体" w:cs="黑体" w:hint="eastAsia"/>
          <w:sz w:val="28"/>
          <w:szCs w:val="28"/>
        </w:rPr>
        <w:t>评价工作情况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（一）评价基本情况</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本次绩效评价的对象是</w:t>
      </w:r>
      <w:r w:rsidR="00632F36">
        <w:rPr>
          <w:rFonts w:ascii="仿宋" w:eastAsia="仿宋" w:hAnsi="仿宋" w:cs="仿宋" w:hint="eastAsia"/>
          <w:sz w:val="28"/>
          <w:szCs w:val="28"/>
        </w:rPr>
        <w:t>2020</w:t>
      </w:r>
      <w:r>
        <w:rPr>
          <w:rFonts w:ascii="仿宋" w:eastAsia="仿宋" w:hAnsi="仿宋" w:cs="仿宋" w:hint="eastAsia"/>
          <w:sz w:val="28"/>
          <w:szCs w:val="28"/>
        </w:rPr>
        <w:t>年度南京市财会教育中心单位整体绩效；目的是通过开展单位整体支出绩效评价，进一步规范财政资金的管理，强化财政支出绩效理念，提升单位履职效益和责任意识，实现财政资源配置效益与效率最大化；评价遵循科学规范、客观公正和实事求是三项原则，主要采用综合评价法进行评价。</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绩效评价指标体系分为部门决策、部门管理、部门绩效3个一级</w:t>
      </w:r>
      <w:r>
        <w:rPr>
          <w:rFonts w:ascii="仿宋" w:eastAsia="仿宋" w:hAnsi="仿宋" w:cs="仿宋" w:hint="eastAsia"/>
          <w:sz w:val="28"/>
          <w:szCs w:val="28"/>
        </w:rPr>
        <w:lastRenderedPageBreak/>
        <w:t>指标，此指标进一步细分为二级指标12个和三级指标25个。</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（二）评价实施情况</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评价工作小组通过对评价对象前期调研，确定了评价的目的、方法以及原则。结合单位基本收支和项目支出情况，制定了科学规范的指标体系，最终确定实施方案。</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本次评价采取座谈等方式听取情况，核查</w:t>
      </w:r>
      <w:r w:rsidR="00632F36">
        <w:rPr>
          <w:rFonts w:ascii="仿宋" w:eastAsia="仿宋" w:hAnsi="仿宋" w:cs="仿宋" w:hint="eastAsia"/>
          <w:sz w:val="28"/>
          <w:szCs w:val="28"/>
        </w:rPr>
        <w:t>2020</w:t>
      </w:r>
      <w:r>
        <w:rPr>
          <w:rFonts w:ascii="仿宋" w:eastAsia="仿宋" w:hAnsi="仿宋" w:cs="仿宋" w:hint="eastAsia"/>
          <w:sz w:val="28"/>
          <w:szCs w:val="28"/>
        </w:rPr>
        <w:t>年度财政预算批复执行及整体支出情况。着重核查了内部控制的建设执行情况、专项资金执行率、“三公”经费及资产管理情况，依据制定的整体支出绩效评价指标体系进行评分：90（含）-100分为优、80（含）-90分为良、60（含）-80分为中、60分以下为差。最终汇总各方评价结果，综合分析并形成评价结论。</w:t>
      </w:r>
    </w:p>
    <w:p w:rsidR="00C02DB8" w:rsidRDefault="00E9246D">
      <w:pPr>
        <w:numPr>
          <w:ilvl w:val="0"/>
          <w:numId w:val="5"/>
        </w:numPr>
        <w:rPr>
          <w:rFonts w:ascii="黑体" w:eastAsia="黑体" w:hAnsi="黑体" w:cs="黑体"/>
          <w:sz w:val="28"/>
          <w:szCs w:val="28"/>
        </w:rPr>
      </w:pPr>
      <w:r>
        <w:rPr>
          <w:rFonts w:ascii="黑体" w:eastAsia="黑体" w:hAnsi="黑体" w:cs="黑体" w:hint="eastAsia"/>
          <w:sz w:val="28"/>
          <w:szCs w:val="28"/>
        </w:rPr>
        <w:t>评价结论</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根据南京市财会教育中心单位整体绩效评价指标及其权重（分），本次评价合计得分</w:t>
      </w:r>
      <w:r w:rsidR="00596CE3">
        <w:rPr>
          <w:rFonts w:ascii="仿宋" w:eastAsia="仿宋" w:hAnsi="仿宋" w:cs="仿宋" w:hint="eastAsia"/>
          <w:sz w:val="28"/>
          <w:szCs w:val="28"/>
        </w:rPr>
        <w:t>90.5分，评价等级为“优</w:t>
      </w:r>
      <w:r>
        <w:rPr>
          <w:rFonts w:ascii="仿宋" w:eastAsia="仿宋" w:hAnsi="仿宋" w:cs="仿宋" w:hint="eastAsia"/>
          <w:sz w:val="28"/>
          <w:szCs w:val="28"/>
        </w:rPr>
        <w:t>”。</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南京市财会教育中心</w:t>
      </w:r>
      <w:r w:rsidR="00632F36">
        <w:rPr>
          <w:rFonts w:ascii="仿宋" w:eastAsia="仿宋" w:hAnsi="仿宋" w:cs="仿宋" w:hint="eastAsia"/>
          <w:sz w:val="28"/>
          <w:szCs w:val="28"/>
        </w:rPr>
        <w:t>2020</w:t>
      </w:r>
      <w:r>
        <w:rPr>
          <w:rFonts w:ascii="仿宋" w:eastAsia="仿宋" w:hAnsi="仿宋" w:cs="仿宋" w:hint="eastAsia"/>
          <w:sz w:val="28"/>
          <w:szCs w:val="28"/>
        </w:rPr>
        <w:t>年度绩效目标明确，履职效果良好，不断加强预算收支管理工作，建立健全内部管理制度，梳理内部管理流程，整体效益及效率均得到大幅提升。单位上下团结一心、锐意进取，全部完成既定的绩效目标，服务管理水平获得了局内各处室及局外机构的一致好评。</w:t>
      </w:r>
    </w:p>
    <w:p w:rsidR="00C02DB8" w:rsidRDefault="00E9246D">
      <w:pPr>
        <w:rPr>
          <w:rFonts w:ascii="黑体" w:eastAsia="黑体" w:hAnsi="黑体" w:cs="黑体"/>
          <w:sz w:val="28"/>
          <w:szCs w:val="28"/>
        </w:rPr>
      </w:pPr>
      <w:r>
        <w:rPr>
          <w:rFonts w:ascii="黑体" w:eastAsia="黑体" w:hAnsi="黑体" w:cs="黑体" w:hint="eastAsia"/>
          <w:sz w:val="28"/>
          <w:szCs w:val="28"/>
        </w:rPr>
        <w:t>四、部门履职绩效</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（一）巩固规模，培训实效日益提升</w:t>
      </w:r>
    </w:p>
    <w:p w:rsidR="00090DA9" w:rsidRPr="00090DA9" w:rsidRDefault="00E9246D" w:rsidP="00090D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教育中心紧紧围绕财政中心工作，认真组织实施财政干部及业务</w:t>
      </w:r>
      <w:r>
        <w:rPr>
          <w:rFonts w:ascii="仿宋" w:eastAsia="仿宋" w:hAnsi="仿宋" w:cs="仿宋" w:hint="eastAsia"/>
          <w:sz w:val="28"/>
          <w:szCs w:val="28"/>
        </w:rPr>
        <w:lastRenderedPageBreak/>
        <w:t>培训，深入调研，强化对标意识，努力查找不足，切实进行整改，不断提升教育培训工作实效。大力开展会计人员继续教育培训工作，更好地为财政改革发展大局服务。20</w:t>
      </w:r>
      <w:r w:rsidR="00090DA9">
        <w:rPr>
          <w:rFonts w:ascii="仿宋" w:eastAsia="仿宋" w:hAnsi="仿宋" w:cs="仿宋" w:hint="eastAsia"/>
          <w:sz w:val="28"/>
          <w:szCs w:val="28"/>
        </w:rPr>
        <w:t>20</w:t>
      </w:r>
      <w:r>
        <w:rPr>
          <w:rFonts w:ascii="仿宋" w:eastAsia="仿宋" w:hAnsi="仿宋" w:cs="仿宋" w:hint="eastAsia"/>
          <w:sz w:val="28"/>
          <w:szCs w:val="28"/>
        </w:rPr>
        <w:t>年全年，</w:t>
      </w:r>
      <w:r w:rsidR="00090DA9" w:rsidRPr="00090DA9">
        <w:rPr>
          <w:rFonts w:ascii="仿宋" w:eastAsia="仿宋" w:hAnsi="仿宋" w:cs="仿宋" w:hint="eastAsia"/>
          <w:sz w:val="28"/>
          <w:szCs w:val="28"/>
        </w:rPr>
        <w:t>教育中心举办培训班26期，计3000多人次，组织开展会计人员继续教育网络培训9.8万人次，承接会计专业技术资格考试和注册会计师考试1万科次，较好完成了全年工作目标任务。</w:t>
      </w:r>
    </w:p>
    <w:p w:rsidR="00C02DB8" w:rsidRDefault="00E9246D">
      <w:pPr>
        <w:ind w:firstLineChars="200" w:firstLine="560"/>
        <w:rPr>
          <w:rFonts w:ascii="仿宋" w:eastAsia="仿宋" w:hAnsi="仿宋" w:cs="仿宋"/>
          <w:sz w:val="28"/>
          <w:szCs w:val="28"/>
        </w:rPr>
      </w:pPr>
      <w:r>
        <w:rPr>
          <w:rFonts w:ascii="黑体" w:eastAsia="黑体" w:hAnsi="黑体" w:cs="黑体" w:hint="eastAsia"/>
          <w:sz w:val="28"/>
          <w:szCs w:val="28"/>
        </w:rPr>
        <w:t>（二）精准施教，积极服务基层财政</w:t>
      </w:r>
    </w:p>
    <w:p w:rsidR="00090DA9" w:rsidRPr="00090DA9" w:rsidRDefault="00E9246D" w:rsidP="00090DA9">
      <w:pPr>
        <w:spacing w:line="360" w:lineRule="auto"/>
        <w:ind w:firstLine="602"/>
        <w:rPr>
          <w:rFonts w:ascii="仿宋" w:eastAsia="仿宋" w:hAnsi="仿宋" w:cs="仿宋"/>
          <w:sz w:val="28"/>
          <w:szCs w:val="28"/>
        </w:rPr>
      </w:pPr>
      <w:r>
        <w:rPr>
          <w:rFonts w:ascii="仿宋" w:eastAsia="仿宋" w:hAnsi="仿宋" w:cs="仿宋" w:hint="eastAsia"/>
          <w:sz w:val="28"/>
          <w:szCs w:val="28"/>
        </w:rPr>
        <w:t>财会教育中心围绕“乡村振兴”战略实施，共举办了</w:t>
      </w:r>
      <w:r w:rsidR="00090DA9">
        <w:rPr>
          <w:rFonts w:ascii="仿宋" w:eastAsia="仿宋" w:hAnsi="仿宋" w:cs="仿宋" w:hint="eastAsia"/>
          <w:sz w:val="28"/>
          <w:szCs w:val="28"/>
        </w:rPr>
        <w:t>4</w:t>
      </w:r>
      <w:r>
        <w:rPr>
          <w:rFonts w:ascii="仿宋" w:eastAsia="仿宋" w:hAnsi="仿宋" w:cs="仿宋" w:hint="eastAsia"/>
          <w:sz w:val="28"/>
          <w:szCs w:val="28"/>
        </w:rPr>
        <w:t>期农村财会人员财政支农政策培训班，对全市</w:t>
      </w:r>
      <w:r w:rsidR="00090DA9">
        <w:rPr>
          <w:rFonts w:ascii="仿宋" w:eastAsia="仿宋" w:hAnsi="仿宋" w:cs="仿宋" w:hint="eastAsia"/>
          <w:sz w:val="28"/>
          <w:szCs w:val="28"/>
        </w:rPr>
        <w:t>729</w:t>
      </w:r>
      <w:r>
        <w:rPr>
          <w:rFonts w:ascii="仿宋" w:eastAsia="仿宋" w:hAnsi="仿宋" w:cs="仿宋" w:hint="eastAsia"/>
          <w:sz w:val="28"/>
          <w:szCs w:val="28"/>
        </w:rPr>
        <w:t>名行政村会计、镇街财政所带队干部进行了集中培训。</w:t>
      </w:r>
      <w:r w:rsidR="00090DA9" w:rsidRPr="00090DA9">
        <w:rPr>
          <w:rFonts w:ascii="仿宋" w:eastAsia="仿宋" w:hAnsi="仿宋" w:cs="仿宋" w:hint="eastAsia"/>
          <w:sz w:val="28"/>
          <w:szCs w:val="28"/>
        </w:rPr>
        <w:t>一是强化疫情防控工作。培训期间全面摸排学员“健康码”，坚持学员每天体温早知道，随时掌握学员健康情况。二是强化培训管理。建立市、区、街镇三级联动机制，市级负责设计、制定培训方案，集中办班；各区财政局做好参训学员组织工作；各街镇财政所负责落实参训学员的人选和现场管理。三方联动，各司其职，大大提高了培训管理的工作效率，保障财政支农政策培训长期稳定的开展。三是强化培训方案的优选。密切关注村级集体经济组织财务管理工作中的难点、热点问题，结合国家和省、市对“三农”工作的最新政策和其他宏观层面的最新动态，精选培训课程内容。在师资结构安排上，采用南京高校教师和财政局各处室业务骨干相结合的方式，全面提升教学质量，加强培训的针对性和实用性。</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（三）健全制度，全面推进内控管理</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教育中心严抓内控建设，共建立健全内部控制制度6项，</w:t>
      </w:r>
      <w:r w:rsidR="00090DA9">
        <w:rPr>
          <w:rFonts w:ascii="仿宋" w:eastAsia="仿宋" w:hAnsi="仿宋" w:cs="仿宋" w:hint="eastAsia"/>
          <w:sz w:val="28"/>
          <w:szCs w:val="28"/>
        </w:rPr>
        <w:t>更新</w:t>
      </w:r>
      <w:r>
        <w:rPr>
          <w:rFonts w:ascii="仿宋" w:eastAsia="仿宋" w:hAnsi="仿宋" w:cs="仿宋" w:hint="eastAsia"/>
          <w:sz w:val="28"/>
          <w:szCs w:val="28"/>
        </w:rPr>
        <w:t>工</w:t>
      </w:r>
      <w:r>
        <w:rPr>
          <w:rFonts w:ascii="仿宋" w:eastAsia="仿宋" w:hAnsi="仿宋" w:cs="仿宋" w:hint="eastAsia"/>
          <w:sz w:val="28"/>
          <w:szCs w:val="28"/>
        </w:rPr>
        <w:lastRenderedPageBreak/>
        <w:t>作和业务规程2项，并印发内部控制制度手册。单位预算资金方面，单位整体支出及收入管理均严格按照预算执行，按时按标，把有限的资金真正用在了“刀刃”上，发挥了最大经济效益。日常工作中，各项规章制度健全，落实到位，内部各项工作有序开展，内部管理水平进一步提高。财政干部及业务培训过程中，各项培训的管理措施和流程规范健全，均得到较好地贯彻和实施。</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（四）抓好服务，社会满意度创新高</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教育中心作为会计专业技术资格考试南京考区考点之一，承担了初、中、高三个级次的会计专业技术资格考试任务。由于考点设施设备完善，流程设计合理，考试管理规范有序，被市财政局确定为与财政部考试中心联网单位，在考试开始后实时向财政部提供南京市的动态考试情况。</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完善的设施和规范的管理也为我们赢得了上级领导的信任和同行的尊重，教育中心考点成为了南京市的标杆考点，在市财政局会计处的推荐下，多个兄弟考点派专人来我中心学习、交流。同时我们还作为质量信得过考点多次接受财政部考试中心、省、市考试管理机构领导的检查并受到好评。</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教育中心积极创新培训模式，遴选优秀师资，提升培训实效，受到上级单位和培训对象的好评。作为财政服务工作的窗口单位，单位坚持提高服务质量，积极开展自查自纠，为会计人员继续教育提供服务，从未发生自身过错性投诉，社会监督反映良好，学员课后反馈问卷对课程设置、师资选择、培训效果的满意率达到98%以上。</w:t>
      </w:r>
    </w:p>
    <w:p w:rsidR="00C02DB8" w:rsidRDefault="00E9246D">
      <w:pPr>
        <w:rPr>
          <w:rFonts w:ascii="黑体" w:eastAsia="黑体" w:hAnsi="黑体" w:cs="黑体"/>
          <w:sz w:val="28"/>
          <w:szCs w:val="28"/>
        </w:rPr>
      </w:pPr>
      <w:r>
        <w:rPr>
          <w:rFonts w:ascii="黑体" w:eastAsia="黑体" w:hAnsi="黑体" w:cs="黑体" w:hint="eastAsia"/>
          <w:sz w:val="28"/>
          <w:szCs w:val="28"/>
        </w:rPr>
        <w:lastRenderedPageBreak/>
        <w:t>五、存在问题及原因分析</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一是</w:t>
      </w:r>
      <w:r>
        <w:rPr>
          <w:rFonts w:ascii="仿宋" w:eastAsia="仿宋" w:hAnsi="仿宋" w:cs="仿宋" w:hint="eastAsia"/>
          <w:sz w:val="28"/>
          <w:szCs w:val="28"/>
        </w:rPr>
        <w:t>单位年度</w:t>
      </w:r>
      <w:r w:rsidR="004E672F">
        <w:rPr>
          <w:rFonts w:ascii="仿宋" w:eastAsia="仿宋" w:hAnsi="仿宋" w:cs="仿宋" w:hint="eastAsia"/>
          <w:sz w:val="28"/>
          <w:szCs w:val="28"/>
        </w:rPr>
        <w:t>计划不够明确和细化，仅列举了工作任务和目标方向，未能制定具体、细</w:t>
      </w:r>
      <w:r>
        <w:rPr>
          <w:rFonts w:ascii="仿宋" w:eastAsia="仿宋" w:hAnsi="仿宋" w:cs="仿宋" w:hint="eastAsia"/>
          <w:sz w:val="28"/>
          <w:szCs w:val="28"/>
        </w:rPr>
        <w:t>化和可衡量的数值、指标体系，与整体绩效目标匹配度较低，也为日后的绩效考核评价带来了主观性和不确定性。且今年总体培训人数规模未能保持持续增长，年度绩效目标执行力度还需加强。</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二是</w:t>
      </w:r>
      <w:r>
        <w:rPr>
          <w:rFonts w:ascii="仿宋" w:eastAsia="仿宋" w:hAnsi="仿宋" w:cs="仿宋" w:hint="eastAsia"/>
          <w:sz w:val="28"/>
          <w:szCs w:val="28"/>
        </w:rPr>
        <w:t>单位预算管理的相关制度虽已建立，但项目资金管理机制在</w:t>
      </w:r>
      <w:r w:rsidR="004E672F">
        <w:rPr>
          <w:rFonts w:ascii="仿宋" w:eastAsia="仿宋" w:hAnsi="仿宋" w:cs="仿宋" w:hint="eastAsia"/>
          <w:sz w:val="28"/>
          <w:szCs w:val="28"/>
        </w:rPr>
        <w:t>精度和深度上尚不健全，不能充分保证项目资金使用效率；</w:t>
      </w:r>
      <w:r w:rsidR="00270F34">
        <w:rPr>
          <w:rFonts w:ascii="仿宋" w:eastAsia="仿宋" w:hAnsi="仿宋" w:cs="仿宋" w:hint="eastAsia"/>
          <w:sz w:val="28"/>
          <w:szCs w:val="28"/>
        </w:rPr>
        <w:t>因单位人手不够</w:t>
      </w:r>
      <w:r>
        <w:rPr>
          <w:rFonts w:ascii="仿宋" w:eastAsia="仿宋" w:hAnsi="仿宋" w:cs="仿宋" w:hint="eastAsia"/>
          <w:sz w:val="28"/>
          <w:szCs w:val="28"/>
        </w:rPr>
        <w:t>，未配置专门的内控监督</w:t>
      </w:r>
      <w:r w:rsidR="004E672F">
        <w:rPr>
          <w:rFonts w:ascii="仿宋" w:eastAsia="仿宋" w:hAnsi="仿宋" w:cs="仿宋" w:hint="eastAsia"/>
          <w:sz w:val="28"/>
          <w:szCs w:val="28"/>
        </w:rPr>
        <w:t>职能部门；</w:t>
      </w:r>
      <w:r w:rsidR="00270F34">
        <w:rPr>
          <w:rFonts w:ascii="仿宋" w:eastAsia="仿宋" w:hAnsi="仿宋" w:cs="仿宋" w:hint="eastAsia"/>
          <w:sz w:val="28"/>
          <w:szCs w:val="28"/>
        </w:rPr>
        <w:t>政府采购制度</w:t>
      </w:r>
      <w:r w:rsidR="004E672F">
        <w:rPr>
          <w:rFonts w:ascii="仿宋" w:eastAsia="仿宋" w:hAnsi="仿宋" w:cs="仿宋" w:hint="eastAsia"/>
          <w:sz w:val="28"/>
          <w:szCs w:val="28"/>
        </w:rPr>
        <w:t>在采购询价上缺乏有效的监督</w:t>
      </w:r>
      <w:r>
        <w:rPr>
          <w:rFonts w:ascii="仿宋" w:eastAsia="仿宋" w:hAnsi="仿宋" w:cs="仿宋" w:hint="eastAsia"/>
          <w:sz w:val="28"/>
          <w:szCs w:val="28"/>
        </w:rPr>
        <w:t>。</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三是</w:t>
      </w:r>
      <w:r>
        <w:rPr>
          <w:rFonts w:ascii="仿宋" w:eastAsia="仿宋" w:hAnsi="仿宋" w:cs="仿宋" w:hint="eastAsia"/>
          <w:sz w:val="28"/>
          <w:szCs w:val="28"/>
        </w:rPr>
        <w:t>单位人员年龄结构失衡，职工平均年龄达50岁，老龄化严重。人才培养计划较为缺失，信息化建设程度不高，单位可持续发展能力不强。</w:t>
      </w:r>
    </w:p>
    <w:p w:rsidR="00C02DB8" w:rsidRDefault="00E9246D">
      <w:pPr>
        <w:numPr>
          <w:ilvl w:val="0"/>
          <w:numId w:val="6"/>
        </w:numPr>
        <w:rPr>
          <w:rFonts w:ascii="黑体" w:eastAsia="黑体" w:hAnsi="黑体" w:cs="黑体"/>
          <w:sz w:val="28"/>
          <w:szCs w:val="28"/>
        </w:rPr>
      </w:pPr>
      <w:r>
        <w:rPr>
          <w:rFonts w:ascii="黑体" w:eastAsia="黑体" w:hAnsi="黑体" w:cs="黑体" w:hint="eastAsia"/>
          <w:sz w:val="28"/>
          <w:szCs w:val="28"/>
        </w:rPr>
        <w:t>有关建议</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一是</w:t>
      </w:r>
      <w:r>
        <w:rPr>
          <w:rFonts w:ascii="仿宋" w:eastAsia="仿宋" w:hAnsi="仿宋" w:cs="仿宋" w:hint="eastAsia"/>
          <w:sz w:val="28"/>
          <w:szCs w:val="28"/>
        </w:rPr>
        <w:t>建议单位在制定年度计划时，对实施方案进行合理规划和梳理，对计划的可行性和</w:t>
      </w:r>
      <w:r w:rsidR="004E672F">
        <w:rPr>
          <w:rFonts w:ascii="仿宋" w:eastAsia="仿宋" w:hAnsi="仿宋" w:cs="仿宋" w:hint="eastAsia"/>
          <w:sz w:val="28"/>
          <w:szCs w:val="28"/>
        </w:rPr>
        <w:t>实用性进行探讨评估。遵循科学规范的原则，制定出更加明确具体的、细</w:t>
      </w:r>
      <w:r>
        <w:rPr>
          <w:rFonts w:ascii="仿宋" w:eastAsia="仿宋" w:hAnsi="仿宋" w:cs="仿宋" w:hint="eastAsia"/>
          <w:sz w:val="28"/>
          <w:szCs w:val="28"/>
        </w:rPr>
        <w:t>化和可衡量的年度绩效目标，根据具体标准</w:t>
      </w:r>
      <w:r w:rsidR="00B8347C">
        <w:rPr>
          <w:rFonts w:ascii="仿宋" w:eastAsia="仿宋" w:hAnsi="仿宋" w:cs="仿宋" w:hint="eastAsia"/>
          <w:sz w:val="28"/>
          <w:szCs w:val="28"/>
        </w:rPr>
        <w:t>，不断推动工作进程，从而为日后的绩效考核评价提供有力的数据支撑。</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二是</w:t>
      </w:r>
      <w:r>
        <w:rPr>
          <w:rFonts w:ascii="仿宋" w:eastAsia="仿宋" w:hAnsi="仿宋" w:cs="仿宋" w:hint="eastAsia"/>
          <w:sz w:val="28"/>
          <w:szCs w:val="28"/>
        </w:rPr>
        <w:t>建议单位及时引进年轻干部，单位职工需要年轻化、专业化。另建立起系统化的长期人才培养计划，明确单位自身的长远发展目标及需要，结合人才自身的发展意愿及职业规划，对职工开展多样化的</w:t>
      </w:r>
      <w:r>
        <w:rPr>
          <w:rFonts w:ascii="仿宋" w:eastAsia="仿宋" w:hAnsi="仿宋" w:cs="仿宋" w:hint="eastAsia"/>
          <w:sz w:val="28"/>
          <w:szCs w:val="28"/>
        </w:rPr>
        <w:lastRenderedPageBreak/>
        <w:t>培训，从而达到提升人才利用效率的目的。</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三是</w:t>
      </w:r>
      <w:r>
        <w:rPr>
          <w:rFonts w:ascii="仿宋" w:eastAsia="仿宋" w:hAnsi="仿宋" w:cs="仿宋" w:hint="eastAsia"/>
          <w:sz w:val="28"/>
          <w:szCs w:val="28"/>
        </w:rPr>
        <w:t>建议将职工绩效考核由采用事业单位改为参照机关绩效工资管理办法。教育中心开展的三项主要工作均属于行政管理及服务职能，绩效工资的考核改为参照机关绩效工资管理办法，也可进一步激发单位人员的工作积极性。</w:t>
      </w:r>
      <w:bookmarkStart w:id="0" w:name="_GoBack"/>
      <w:bookmarkEnd w:id="0"/>
    </w:p>
    <w:p w:rsidR="00C02DB8" w:rsidRDefault="00C02DB8">
      <w:pPr>
        <w:ind w:firstLineChars="200" w:firstLine="560"/>
        <w:rPr>
          <w:rFonts w:ascii="仿宋" w:eastAsia="仿宋" w:hAnsi="仿宋" w:cs="仿宋"/>
          <w:sz w:val="28"/>
          <w:szCs w:val="28"/>
        </w:rPr>
      </w:pPr>
    </w:p>
    <w:p w:rsidR="00C02DB8" w:rsidRDefault="00E9246D">
      <w:pPr>
        <w:ind w:firstLineChars="200" w:firstLine="480"/>
        <w:rPr>
          <w:rFonts w:ascii="仿宋" w:eastAsia="仿宋" w:hAnsi="仿宋" w:cs="仿宋"/>
          <w:sz w:val="24"/>
        </w:rPr>
      </w:pPr>
      <w:r>
        <w:rPr>
          <w:rFonts w:ascii="仿宋" w:eastAsia="仿宋" w:hAnsi="仿宋" w:cs="仿宋" w:hint="eastAsia"/>
          <w:sz w:val="24"/>
        </w:rPr>
        <w:t>附件：</w:t>
      </w:r>
    </w:p>
    <w:p w:rsidR="00C02DB8" w:rsidRDefault="00E9246D">
      <w:pPr>
        <w:ind w:firstLineChars="200" w:firstLine="480"/>
        <w:rPr>
          <w:rFonts w:ascii="仿宋" w:eastAsia="仿宋" w:hAnsi="仿宋" w:cs="仿宋"/>
          <w:sz w:val="28"/>
          <w:szCs w:val="28"/>
        </w:rPr>
      </w:pPr>
      <w:r>
        <w:rPr>
          <w:rFonts w:ascii="仿宋" w:eastAsia="仿宋" w:hAnsi="仿宋" w:cs="仿宋" w:hint="eastAsia"/>
          <w:sz w:val="24"/>
        </w:rPr>
        <w:t>南京市财会教育中心部门整体绩效评价指标得分表（</w:t>
      </w:r>
      <w:r w:rsidR="00632F36">
        <w:rPr>
          <w:rFonts w:ascii="仿宋" w:eastAsia="仿宋" w:hAnsi="仿宋" w:cs="仿宋" w:hint="eastAsia"/>
          <w:sz w:val="24"/>
        </w:rPr>
        <w:t>2020</w:t>
      </w:r>
      <w:r>
        <w:rPr>
          <w:rFonts w:ascii="仿宋" w:eastAsia="仿宋" w:hAnsi="仿宋" w:cs="仿宋" w:hint="eastAsia"/>
          <w:sz w:val="24"/>
        </w:rPr>
        <w:t>年）</w:t>
      </w:r>
    </w:p>
    <w:sectPr w:rsidR="00C02DB8" w:rsidSect="00C02DB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51B" w:rsidRDefault="00D3351B" w:rsidP="00C02DB8">
      <w:r>
        <w:separator/>
      </w:r>
    </w:p>
  </w:endnote>
  <w:endnote w:type="continuationSeparator" w:id="0">
    <w:p w:rsidR="00D3351B" w:rsidRDefault="00D3351B" w:rsidP="00C0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DB8" w:rsidRDefault="006B7899">
    <w:pPr>
      <w:pStyle w:val="a3"/>
    </w:pPr>
    <w:r>
      <w:pict>
        <v:shapetype id="_x0000_t202" coordsize="21600,21600" o:spt="202" path="m,l,21600r21600,l21600,xe">
          <v:stroke joinstyle="miter"/>
          <v:path gradientshapeok="t" o:connecttype="rect"/>
        </v:shapetype>
        <v:shape id="_x0000_s1026" type="#_x0000_t202" style="position:absolute;margin-left:114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02DB8" w:rsidRDefault="006B7899">
                <w:pPr>
                  <w:pStyle w:val="a3"/>
                </w:pPr>
                <w:r>
                  <w:rPr>
                    <w:rFonts w:hint="eastAsia"/>
                  </w:rPr>
                  <w:fldChar w:fldCharType="begin"/>
                </w:r>
                <w:r w:rsidR="00E9246D">
                  <w:rPr>
                    <w:rFonts w:hint="eastAsia"/>
                  </w:rPr>
                  <w:instrText xml:space="preserve"> PAGE  \* MERGEFORMAT </w:instrText>
                </w:r>
                <w:r>
                  <w:rPr>
                    <w:rFonts w:hint="eastAsia"/>
                  </w:rPr>
                  <w:fldChar w:fldCharType="separate"/>
                </w:r>
                <w:r w:rsidR="00596CE3">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51B" w:rsidRDefault="00D3351B" w:rsidP="00C02DB8">
      <w:r>
        <w:separator/>
      </w:r>
    </w:p>
  </w:footnote>
  <w:footnote w:type="continuationSeparator" w:id="0">
    <w:p w:rsidR="00D3351B" w:rsidRDefault="00D3351B" w:rsidP="00C02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451CC"/>
    <w:multiLevelType w:val="singleLevel"/>
    <w:tmpl w:val="85F451CC"/>
    <w:lvl w:ilvl="0">
      <w:start w:val="6"/>
      <w:numFmt w:val="chineseCounting"/>
      <w:suff w:val="nothing"/>
      <w:lvlText w:val="%1、"/>
      <w:lvlJc w:val="left"/>
      <w:rPr>
        <w:rFonts w:hint="eastAsia"/>
      </w:rPr>
    </w:lvl>
  </w:abstractNum>
  <w:abstractNum w:abstractNumId="1">
    <w:nsid w:val="B349A798"/>
    <w:multiLevelType w:val="singleLevel"/>
    <w:tmpl w:val="B349A798"/>
    <w:lvl w:ilvl="0">
      <w:start w:val="2"/>
      <w:numFmt w:val="chineseCounting"/>
      <w:suff w:val="nothing"/>
      <w:lvlText w:val="（%1）"/>
      <w:lvlJc w:val="left"/>
      <w:rPr>
        <w:rFonts w:hint="eastAsia"/>
      </w:rPr>
    </w:lvl>
  </w:abstractNum>
  <w:abstractNum w:abstractNumId="2">
    <w:nsid w:val="B8CE659A"/>
    <w:multiLevelType w:val="singleLevel"/>
    <w:tmpl w:val="B8CE659A"/>
    <w:lvl w:ilvl="0">
      <w:start w:val="2"/>
      <w:numFmt w:val="chineseCounting"/>
      <w:suff w:val="nothing"/>
      <w:lvlText w:val="%1、"/>
      <w:lvlJc w:val="left"/>
      <w:rPr>
        <w:rFonts w:hint="eastAsia"/>
      </w:rPr>
    </w:lvl>
  </w:abstractNum>
  <w:abstractNum w:abstractNumId="3">
    <w:nsid w:val="08038770"/>
    <w:multiLevelType w:val="singleLevel"/>
    <w:tmpl w:val="08038770"/>
    <w:lvl w:ilvl="0">
      <w:start w:val="1"/>
      <w:numFmt w:val="chineseCounting"/>
      <w:suff w:val="nothing"/>
      <w:lvlText w:val="%1、"/>
      <w:lvlJc w:val="left"/>
      <w:rPr>
        <w:rFonts w:hint="eastAsia"/>
      </w:rPr>
    </w:lvl>
  </w:abstractNum>
  <w:abstractNum w:abstractNumId="4">
    <w:nsid w:val="0B25A02F"/>
    <w:multiLevelType w:val="singleLevel"/>
    <w:tmpl w:val="0B25A02F"/>
    <w:lvl w:ilvl="0">
      <w:start w:val="1"/>
      <w:numFmt w:val="decimal"/>
      <w:suff w:val="nothing"/>
      <w:lvlText w:val="（%1）"/>
      <w:lvlJc w:val="left"/>
    </w:lvl>
  </w:abstractNum>
  <w:abstractNum w:abstractNumId="5">
    <w:nsid w:val="3D93328B"/>
    <w:multiLevelType w:val="singleLevel"/>
    <w:tmpl w:val="3D93328B"/>
    <w:lvl w:ilvl="0">
      <w:start w:val="1"/>
      <w:numFmt w:val="decimal"/>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2DB8"/>
    <w:rsid w:val="00090DA9"/>
    <w:rsid w:val="00093834"/>
    <w:rsid w:val="000E70E9"/>
    <w:rsid w:val="00135600"/>
    <w:rsid w:val="001534EF"/>
    <w:rsid w:val="00166B58"/>
    <w:rsid w:val="00176AD9"/>
    <w:rsid w:val="001A097A"/>
    <w:rsid w:val="00263F66"/>
    <w:rsid w:val="00270F34"/>
    <w:rsid w:val="00323582"/>
    <w:rsid w:val="003373AF"/>
    <w:rsid w:val="003478A7"/>
    <w:rsid w:val="003C3B98"/>
    <w:rsid w:val="0043062A"/>
    <w:rsid w:val="004E672F"/>
    <w:rsid w:val="00596CE3"/>
    <w:rsid w:val="00601B40"/>
    <w:rsid w:val="00632F36"/>
    <w:rsid w:val="00692517"/>
    <w:rsid w:val="006B7899"/>
    <w:rsid w:val="007373D4"/>
    <w:rsid w:val="00745D47"/>
    <w:rsid w:val="00820708"/>
    <w:rsid w:val="008643B6"/>
    <w:rsid w:val="008C31A0"/>
    <w:rsid w:val="008E3998"/>
    <w:rsid w:val="00980069"/>
    <w:rsid w:val="00A658D1"/>
    <w:rsid w:val="00AC57B5"/>
    <w:rsid w:val="00B71BF8"/>
    <w:rsid w:val="00B8347C"/>
    <w:rsid w:val="00C02DB8"/>
    <w:rsid w:val="00C52D71"/>
    <w:rsid w:val="00C62B55"/>
    <w:rsid w:val="00CD624D"/>
    <w:rsid w:val="00D3351B"/>
    <w:rsid w:val="00D37ECF"/>
    <w:rsid w:val="00D902B8"/>
    <w:rsid w:val="00DF4FE1"/>
    <w:rsid w:val="00E071F6"/>
    <w:rsid w:val="00E300A9"/>
    <w:rsid w:val="00E9246D"/>
    <w:rsid w:val="00EA3166"/>
    <w:rsid w:val="00EA4555"/>
    <w:rsid w:val="00FA4B45"/>
    <w:rsid w:val="00FF1A28"/>
    <w:rsid w:val="01074A2A"/>
    <w:rsid w:val="01242A3A"/>
    <w:rsid w:val="01493C8D"/>
    <w:rsid w:val="01D44919"/>
    <w:rsid w:val="01EA7830"/>
    <w:rsid w:val="02490C20"/>
    <w:rsid w:val="0296763A"/>
    <w:rsid w:val="02CA0DC6"/>
    <w:rsid w:val="035E73DB"/>
    <w:rsid w:val="03915059"/>
    <w:rsid w:val="03C00DAF"/>
    <w:rsid w:val="040A6707"/>
    <w:rsid w:val="04AF39C1"/>
    <w:rsid w:val="04D83E4C"/>
    <w:rsid w:val="050B0B31"/>
    <w:rsid w:val="05F17439"/>
    <w:rsid w:val="0607368B"/>
    <w:rsid w:val="0741516A"/>
    <w:rsid w:val="076E6DF2"/>
    <w:rsid w:val="07DC14EA"/>
    <w:rsid w:val="0963356F"/>
    <w:rsid w:val="097529C5"/>
    <w:rsid w:val="099E32C2"/>
    <w:rsid w:val="09C46D6A"/>
    <w:rsid w:val="0A455B6D"/>
    <w:rsid w:val="0A9A77FF"/>
    <w:rsid w:val="0AE95686"/>
    <w:rsid w:val="0CCB2261"/>
    <w:rsid w:val="0D353315"/>
    <w:rsid w:val="0D3614D1"/>
    <w:rsid w:val="0D520B59"/>
    <w:rsid w:val="0D603A3F"/>
    <w:rsid w:val="0DE120EF"/>
    <w:rsid w:val="0E2408FC"/>
    <w:rsid w:val="0E49617B"/>
    <w:rsid w:val="0E5D77E4"/>
    <w:rsid w:val="0E7C093E"/>
    <w:rsid w:val="0EBD02BA"/>
    <w:rsid w:val="0F341347"/>
    <w:rsid w:val="0F491F5F"/>
    <w:rsid w:val="0F7F4ADF"/>
    <w:rsid w:val="102051C8"/>
    <w:rsid w:val="10750DCC"/>
    <w:rsid w:val="10FF0836"/>
    <w:rsid w:val="11493E97"/>
    <w:rsid w:val="119D3639"/>
    <w:rsid w:val="119E437B"/>
    <w:rsid w:val="11E9499A"/>
    <w:rsid w:val="11F1445D"/>
    <w:rsid w:val="11F666C0"/>
    <w:rsid w:val="12063C83"/>
    <w:rsid w:val="122F00C2"/>
    <w:rsid w:val="123F6CF6"/>
    <w:rsid w:val="12CC3496"/>
    <w:rsid w:val="13AF0747"/>
    <w:rsid w:val="14731E74"/>
    <w:rsid w:val="149A4270"/>
    <w:rsid w:val="15125EC5"/>
    <w:rsid w:val="160210D5"/>
    <w:rsid w:val="16112903"/>
    <w:rsid w:val="16245F88"/>
    <w:rsid w:val="162C2F13"/>
    <w:rsid w:val="16416FBA"/>
    <w:rsid w:val="164C59F3"/>
    <w:rsid w:val="17882380"/>
    <w:rsid w:val="185E4C8D"/>
    <w:rsid w:val="1953059E"/>
    <w:rsid w:val="195C47D8"/>
    <w:rsid w:val="199511E9"/>
    <w:rsid w:val="1A0B59EE"/>
    <w:rsid w:val="1A6C17EE"/>
    <w:rsid w:val="1AE90503"/>
    <w:rsid w:val="1B021DE9"/>
    <w:rsid w:val="1B15503A"/>
    <w:rsid w:val="1B7071FA"/>
    <w:rsid w:val="1B7C25D0"/>
    <w:rsid w:val="1C70557A"/>
    <w:rsid w:val="1C8E0244"/>
    <w:rsid w:val="1D1D0FCF"/>
    <w:rsid w:val="1D8E533A"/>
    <w:rsid w:val="1E1735E9"/>
    <w:rsid w:val="1F156C55"/>
    <w:rsid w:val="1F1D3EB9"/>
    <w:rsid w:val="1F5468F5"/>
    <w:rsid w:val="201844ED"/>
    <w:rsid w:val="20637E48"/>
    <w:rsid w:val="20EE5FE9"/>
    <w:rsid w:val="21231569"/>
    <w:rsid w:val="21323C32"/>
    <w:rsid w:val="21C76CCF"/>
    <w:rsid w:val="21F81238"/>
    <w:rsid w:val="22781EE8"/>
    <w:rsid w:val="22BE6D2B"/>
    <w:rsid w:val="22DB4228"/>
    <w:rsid w:val="22FA2313"/>
    <w:rsid w:val="233315BB"/>
    <w:rsid w:val="242E406D"/>
    <w:rsid w:val="246F3BE4"/>
    <w:rsid w:val="249F638D"/>
    <w:rsid w:val="24B04FA7"/>
    <w:rsid w:val="24CB32C0"/>
    <w:rsid w:val="24FE3026"/>
    <w:rsid w:val="255F0F21"/>
    <w:rsid w:val="258F204A"/>
    <w:rsid w:val="263159EE"/>
    <w:rsid w:val="26437651"/>
    <w:rsid w:val="26712BED"/>
    <w:rsid w:val="26934CFD"/>
    <w:rsid w:val="26F24AAE"/>
    <w:rsid w:val="27091EA8"/>
    <w:rsid w:val="271E143E"/>
    <w:rsid w:val="27EF3DB1"/>
    <w:rsid w:val="282023B2"/>
    <w:rsid w:val="2841389F"/>
    <w:rsid w:val="285E465D"/>
    <w:rsid w:val="289E66D7"/>
    <w:rsid w:val="28FB5FBB"/>
    <w:rsid w:val="2A061A30"/>
    <w:rsid w:val="2A8456B0"/>
    <w:rsid w:val="2AA6413B"/>
    <w:rsid w:val="2AA94926"/>
    <w:rsid w:val="2ABB0FCD"/>
    <w:rsid w:val="2AF40E5F"/>
    <w:rsid w:val="2BBB7734"/>
    <w:rsid w:val="2BED2A9C"/>
    <w:rsid w:val="2C141E71"/>
    <w:rsid w:val="2CCE4B38"/>
    <w:rsid w:val="2CDA45FE"/>
    <w:rsid w:val="2D0C6903"/>
    <w:rsid w:val="2D2A11F6"/>
    <w:rsid w:val="2D65441D"/>
    <w:rsid w:val="2DBA0C56"/>
    <w:rsid w:val="2DEA2247"/>
    <w:rsid w:val="2E8071A9"/>
    <w:rsid w:val="2F2440F6"/>
    <w:rsid w:val="2F6B5A9C"/>
    <w:rsid w:val="301079AB"/>
    <w:rsid w:val="302425A1"/>
    <w:rsid w:val="306032C3"/>
    <w:rsid w:val="30EE46AB"/>
    <w:rsid w:val="31217AF4"/>
    <w:rsid w:val="316106F5"/>
    <w:rsid w:val="31FD13F8"/>
    <w:rsid w:val="32155EC0"/>
    <w:rsid w:val="32AA454A"/>
    <w:rsid w:val="32DF010D"/>
    <w:rsid w:val="355F1B5A"/>
    <w:rsid w:val="35C74F06"/>
    <w:rsid w:val="37003106"/>
    <w:rsid w:val="37B22FC9"/>
    <w:rsid w:val="3A5D377A"/>
    <w:rsid w:val="3A7C1785"/>
    <w:rsid w:val="3ABF1D74"/>
    <w:rsid w:val="3B2D0422"/>
    <w:rsid w:val="3B557F15"/>
    <w:rsid w:val="3BB758A3"/>
    <w:rsid w:val="3CF073C2"/>
    <w:rsid w:val="3CFD0484"/>
    <w:rsid w:val="3D144D42"/>
    <w:rsid w:val="3DE544C1"/>
    <w:rsid w:val="3DF44B31"/>
    <w:rsid w:val="3E9E5D66"/>
    <w:rsid w:val="402719A5"/>
    <w:rsid w:val="402F7727"/>
    <w:rsid w:val="40452755"/>
    <w:rsid w:val="405A3432"/>
    <w:rsid w:val="40A053CE"/>
    <w:rsid w:val="40BF2993"/>
    <w:rsid w:val="41856241"/>
    <w:rsid w:val="419E2AD4"/>
    <w:rsid w:val="41CB364A"/>
    <w:rsid w:val="41F03DFC"/>
    <w:rsid w:val="4260198D"/>
    <w:rsid w:val="426A6532"/>
    <w:rsid w:val="4285345F"/>
    <w:rsid w:val="42DC62A9"/>
    <w:rsid w:val="43800C59"/>
    <w:rsid w:val="451A5B10"/>
    <w:rsid w:val="460E07EC"/>
    <w:rsid w:val="466772F7"/>
    <w:rsid w:val="46973428"/>
    <w:rsid w:val="46DA08A4"/>
    <w:rsid w:val="47004B37"/>
    <w:rsid w:val="471D0B33"/>
    <w:rsid w:val="47267492"/>
    <w:rsid w:val="476371B6"/>
    <w:rsid w:val="47794C5F"/>
    <w:rsid w:val="47A52CAE"/>
    <w:rsid w:val="4801459F"/>
    <w:rsid w:val="481C40C9"/>
    <w:rsid w:val="484B4D93"/>
    <w:rsid w:val="48BD0164"/>
    <w:rsid w:val="49741E19"/>
    <w:rsid w:val="4A526C81"/>
    <w:rsid w:val="4AA43080"/>
    <w:rsid w:val="4AA602B6"/>
    <w:rsid w:val="4B6E204C"/>
    <w:rsid w:val="4BEE394A"/>
    <w:rsid w:val="4C4C16D7"/>
    <w:rsid w:val="4CBF5B9E"/>
    <w:rsid w:val="4CD95009"/>
    <w:rsid w:val="4D15530B"/>
    <w:rsid w:val="4D43262E"/>
    <w:rsid w:val="4DB07A83"/>
    <w:rsid w:val="4DB86DFE"/>
    <w:rsid w:val="4E3446A6"/>
    <w:rsid w:val="4E856080"/>
    <w:rsid w:val="4EE75908"/>
    <w:rsid w:val="4F0539CA"/>
    <w:rsid w:val="4F855C91"/>
    <w:rsid w:val="509877E7"/>
    <w:rsid w:val="51403627"/>
    <w:rsid w:val="517F1CB2"/>
    <w:rsid w:val="51970F95"/>
    <w:rsid w:val="51FD3209"/>
    <w:rsid w:val="5268333F"/>
    <w:rsid w:val="527758B8"/>
    <w:rsid w:val="52AA4AE8"/>
    <w:rsid w:val="531026F7"/>
    <w:rsid w:val="536F01C7"/>
    <w:rsid w:val="54B6738D"/>
    <w:rsid w:val="55C14C23"/>
    <w:rsid w:val="5627321D"/>
    <w:rsid w:val="56393744"/>
    <w:rsid w:val="5795718D"/>
    <w:rsid w:val="57C21D1B"/>
    <w:rsid w:val="58181150"/>
    <w:rsid w:val="581C4199"/>
    <w:rsid w:val="58241EAD"/>
    <w:rsid w:val="583632F5"/>
    <w:rsid w:val="58516B5E"/>
    <w:rsid w:val="587068CB"/>
    <w:rsid w:val="58DB19F1"/>
    <w:rsid w:val="58E84EC1"/>
    <w:rsid w:val="59FA7C16"/>
    <w:rsid w:val="5AA64C96"/>
    <w:rsid w:val="5B587148"/>
    <w:rsid w:val="5B8201E1"/>
    <w:rsid w:val="5B826907"/>
    <w:rsid w:val="5BBD50E5"/>
    <w:rsid w:val="5BF30642"/>
    <w:rsid w:val="5CA36041"/>
    <w:rsid w:val="5D487866"/>
    <w:rsid w:val="5D813B10"/>
    <w:rsid w:val="5DF30C1D"/>
    <w:rsid w:val="5ED25A43"/>
    <w:rsid w:val="5FA97D5B"/>
    <w:rsid w:val="5FCC0563"/>
    <w:rsid w:val="60240496"/>
    <w:rsid w:val="60445E2B"/>
    <w:rsid w:val="60D02772"/>
    <w:rsid w:val="60E479E8"/>
    <w:rsid w:val="610B0B44"/>
    <w:rsid w:val="611C5CEF"/>
    <w:rsid w:val="61904011"/>
    <w:rsid w:val="61D3461C"/>
    <w:rsid w:val="61E01082"/>
    <w:rsid w:val="62B53DCC"/>
    <w:rsid w:val="62B769C2"/>
    <w:rsid w:val="62F6399D"/>
    <w:rsid w:val="63B6303A"/>
    <w:rsid w:val="63D31EFA"/>
    <w:rsid w:val="63ED1DA3"/>
    <w:rsid w:val="64590D3F"/>
    <w:rsid w:val="664A1A22"/>
    <w:rsid w:val="66BC5BF2"/>
    <w:rsid w:val="67A149C6"/>
    <w:rsid w:val="68212FF4"/>
    <w:rsid w:val="69256169"/>
    <w:rsid w:val="6A7C5832"/>
    <w:rsid w:val="6A986C4E"/>
    <w:rsid w:val="6B3B0684"/>
    <w:rsid w:val="6B555F69"/>
    <w:rsid w:val="6C2A1CC9"/>
    <w:rsid w:val="6D3D3D55"/>
    <w:rsid w:val="6D5566CE"/>
    <w:rsid w:val="6D572E39"/>
    <w:rsid w:val="6D5B69C3"/>
    <w:rsid w:val="6D843A39"/>
    <w:rsid w:val="6E7C2EFF"/>
    <w:rsid w:val="6F1C2BB7"/>
    <w:rsid w:val="6F211C0E"/>
    <w:rsid w:val="6F4950F2"/>
    <w:rsid w:val="6F716AFE"/>
    <w:rsid w:val="6FD079CA"/>
    <w:rsid w:val="70BA2A49"/>
    <w:rsid w:val="70CB2419"/>
    <w:rsid w:val="71A266E0"/>
    <w:rsid w:val="71B53124"/>
    <w:rsid w:val="720E3B13"/>
    <w:rsid w:val="72AB6046"/>
    <w:rsid w:val="72B70BC4"/>
    <w:rsid w:val="72EA3155"/>
    <w:rsid w:val="73286545"/>
    <w:rsid w:val="73AB49E7"/>
    <w:rsid w:val="73F330DF"/>
    <w:rsid w:val="74713416"/>
    <w:rsid w:val="74CF59C3"/>
    <w:rsid w:val="74E92F6A"/>
    <w:rsid w:val="75DF1C73"/>
    <w:rsid w:val="7678628E"/>
    <w:rsid w:val="767A5AB2"/>
    <w:rsid w:val="7685401E"/>
    <w:rsid w:val="76961189"/>
    <w:rsid w:val="76E6638D"/>
    <w:rsid w:val="770E334B"/>
    <w:rsid w:val="77820B01"/>
    <w:rsid w:val="77C01426"/>
    <w:rsid w:val="77D17E14"/>
    <w:rsid w:val="78604342"/>
    <w:rsid w:val="79252513"/>
    <w:rsid w:val="79D921CD"/>
    <w:rsid w:val="7A362124"/>
    <w:rsid w:val="7A7A51F2"/>
    <w:rsid w:val="7AFE1DC2"/>
    <w:rsid w:val="7B921BA4"/>
    <w:rsid w:val="7BAF6BF2"/>
    <w:rsid w:val="7BD46C5A"/>
    <w:rsid w:val="7C3F2340"/>
    <w:rsid w:val="7C625DB2"/>
    <w:rsid w:val="7CB4102B"/>
    <w:rsid w:val="7D1D0150"/>
    <w:rsid w:val="7D337440"/>
    <w:rsid w:val="7DD22C81"/>
    <w:rsid w:val="7E6E5B05"/>
    <w:rsid w:val="7E716022"/>
    <w:rsid w:val="7E794AFC"/>
    <w:rsid w:val="7E866DCC"/>
    <w:rsid w:val="7F013725"/>
    <w:rsid w:val="7F536F69"/>
    <w:rsid w:val="7F655B2B"/>
    <w:rsid w:val="7F97275C"/>
    <w:rsid w:val="7FCB4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DB8"/>
    <w:pPr>
      <w:widowControl w:val="0"/>
      <w:jc w:val="both"/>
    </w:pPr>
    <w:rPr>
      <w:rFonts w:ascii="Calibri" w:hAnsi="Calibri"/>
      <w:kern w:val="2"/>
      <w:sz w:val="21"/>
      <w:szCs w:val="24"/>
    </w:rPr>
  </w:style>
  <w:style w:type="paragraph" w:styleId="1">
    <w:name w:val="heading 1"/>
    <w:basedOn w:val="a"/>
    <w:next w:val="a"/>
    <w:qFormat/>
    <w:rsid w:val="00C02DB8"/>
    <w:pPr>
      <w:keepNext/>
      <w:keepLines/>
      <w:spacing w:line="576"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2DB8"/>
    <w:pPr>
      <w:tabs>
        <w:tab w:val="center" w:pos="4153"/>
        <w:tab w:val="right" w:pos="8306"/>
      </w:tabs>
      <w:snapToGrid w:val="0"/>
      <w:jc w:val="left"/>
    </w:pPr>
    <w:rPr>
      <w:sz w:val="18"/>
    </w:rPr>
  </w:style>
  <w:style w:type="paragraph" w:styleId="a4">
    <w:name w:val="header"/>
    <w:basedOn w:val="a"/>
    <w:rsid w:val="00C02D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2DB8"/>
    <w:rPr>
      <w:sz w:val="24"/>
    </w:rPr>
  </w:style>
  <w:style w:type="table" w:styleId="a6">
    <w:name w:val="Table Grid"/>
    <w:basedOn w:val="a1"/>
    <w:qFormat/>
    <w:rsid w:val="00C02D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595</Words>
  <Characters>3395</Characters>
  <Application>Microsoft Office Word</Application>
  <DocSecurity>0</DocSecurity>
  <Lines>28</Lines>
  <Paragraphs>7</Paragraphs>
  <ScaleCrop>false</ScaleCrop>
  <Company>微软中国</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2020-08-13T07:55:00Z</dcterms:created>
  <dcterms:modified xsi:type="dcterms:W3CDTF">2021-08-03T07:40:00Z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