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bookmarkStart w:id="0" w:name="_GoBack"/>
      <w:bookmarkEnd w:id="0"/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bCs/>
          <w:kern w:val="44"/>
          <w:sz w:val="44"/>
          <w:szCs w:val="44"/>
        </w:rPr>
      </w:pPr>
      <w:r>
        <w:rPr>
          <w:rFonts w:hint="eastAsia" w:ascii="方正小标宋_GBK" w:eastAsia="方正小标宋_GBK"/>
          <w:bCs/>
          <w:kern w:val="44"/>
          <w:sz w:val="44"/>
          <w:szCs w:val="44"/>
        </w:rPr>
        <w:t>2018-2020年南京入境旅游工作任务推进表</w:t>
      </w:r>
    </w:p>
    <w:p>
      <w:pPr>
        <w:rPr>
          <w:rFonts w:hint="eastAsia" w:eastAsia="方正小标宋简体"/>
          <w:b/>
          <w:bCs/>
          <w:kern w:val="44"/>
          <w:sz w:val="40"/>
          <w:szCs w:val="44"/>
        </w:rPr>
      </w:pPr>
    </w:p>
    <w:tbl>
      <w:tblPr>
        <w:tblStyle w:val="5"/>
        <w:tblW w:w="14459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482"/>
        <w:gridCol w:w="7373"/>
        <w:gridCol w:w="1650"/>
        <w:gridCol w:w="21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779" w:type="dxa"/>
            <w:vAlign w:val="center"/>
          </w:tcPr>
          <w:p>
            <w:pPr>
              <w:snapToGrid w:val="0"/>
              <w:jc w:val="center"/>
              <w:rPr>
                <w:rFonts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sz w:val="24"/>
                <w:szCs w:val="24"/>
              </w:rPr>
              <w:t>项目名称</w:t>
            </w: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sz w:val="24"/>
                <w:szCs w:val="24"/>
              </w:rPr>
              <w:t>重点工作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sz w:val="24"/>
                <w:szCs w:val="24"/>
              </w:rPr>
              <w:t>完成时间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目标</w:t>
            </w: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“十三五”期间，全市入境旅游过夜人数年均增长7％以上，到2020年，达82万人次以上；旅游外汇收入年均增长10%以上，到2020年，超过10亿美元。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丰富产品供给</w:t>
            </w: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以人文遗产、科举文化、郑和文化等资源为核心，推出“书香南京之旅”“海丝源头之旅”“养心文化之旅”“珍爱和平之旅”等主题线路产品。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市旅游委、市委宣传部、市文广新局、南京旅游集团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打造水上游精品线路。推出长江游轮旅游产品，形成水上游和岸上游互动。推出滨江和外秦淮河游船游览线。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南京旅游集团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发挥江宁汤山国家级旅游度假区、高淳国际慢城等品牌优势，联合都市圈相关资源，设计推出一批休闲度假、温泉养生类旅游产品。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市旅游委、江宁区政府、高淳区政府、南京旅游集团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大力发展商务会奖旅游，塑造“约会南京，会见惊喜”南京会奖旅游品牌。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建邺区政府、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南京旅游集团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以南京丰富的科教资源、文博场馆、特色文化为依托，推出历史寻根游、文化体验游、科普游、名校游等研学旅游产品，打造国际研学旅游目的地。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市旅游委、市文广新局、市教育局、南京旅游集团、各区政府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开展精准营销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依托已开通和计划开通的南京洲际航线持续开展专题营销</w:t>
            </w: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赴美国、墨西哥、德国、意大利、俄罗斯、芬兰等重点及新兴客源国，开展南京旅游专题推介。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2018年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市商务局、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各区政府、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有关航空公司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赴美国、加拿大、澳大利亚、新西兰、德国、芬兰等重点及新兴客源国，开展南京旅游专题推介。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2019年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赴美国、加拿大、澳大利亚、意大利、俄罗斯、德国、芬兰等重点及新兴客源国，开展南京旅游专题推介。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2020年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深耕细作东南亚、日韩、港澳台等传统市场。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赴相关客源国开展重点航线、新航线及政策专题推介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市商务局、市旅游委、禄口国际机场、有关航空公司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加快布局南京旅游境外推广中心</w:t>
            </w: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对已经建立的南京旅游推广中心（南京品质旅游专卖店）进行机制完善和成效提升。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在北美、欧洲和中国台湾地区建立南京旅游推广中心（南京品质旅游专卖店）。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2018年底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在澳洲建立南京旅游推广中心（南京品质旅游专卖店）。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2019年底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构建全媒体推广体系</w:t>
            </w: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全面启动海外社交媒体（Facebook、Instagram、Twitter等）推广。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2018年启动，持续推进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市委宣传部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加强与CNN、BBC等全球化传媒合作。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ind w:left="-23" w:leftChars="-421" w:hanging="1240" w:hangingChars="517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加强与    加强与Expedia、天巡网、Trippiece等旅游专业网站和OTA的合作。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积极开展创意营销活动</w:t>
            </w: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加大与国际友好合作城市的旅游交流与合作，策划举办“南京—友城”旅游交流月（周）活动。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每年举办一次，持续推进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市外办、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市委宣传部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开展精准营销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积极开展创意营销活动</w:t>
            </w: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在重点客源地聘请当地体育、文化名人担任南京旅游形象推广大使。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2018年底前确认人选、签署合作协议，2019-2020年正式进行推广合作。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市体育局、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市文广新局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7373" w:type="dxa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利用“南京周”等活动平台推广南京旅游。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每年举办一次，持续推进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市旅游委、市委宣传部、市外办、市台办、市侨办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构建国际化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交通网络</w:t>
            </w: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围绕重点和新兴入境客源地，推动增开和加密直飞旅游航线。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市商务局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进一步完善旅游集散中心、游客咨询中心、环城游观光巴士、交通引导标识等服务设施建设。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市旅游委、市交通运输局、各区政府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发挥沪苏浙144小时过境免签政策效应，加强与上海、杭州等城市的合作，研发跨区域旅游线路。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市商务局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充分调动企业积极性</w:t>
            </w: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完善高星级旅行社的等级评定、绩效评估制度，提高自主外联能力、入境旅游专职队伍建设、入境旅游产品宣传和销售、入境旅游营收份额的考评权重。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鼓励扶持本地重点旅游企业利用自身营销平台在欧、美、澳等重点市场大力开展自主外联。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依托和利用境外推广中心的专业力量，服务好入境旅行社。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扩大入境旅游弹性消费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加强旅游与文创、科创的融合，研发彰显南京特色文化，兼具科技、时尚元素和文创体验的旅游纪念品、工艺品等。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市旅游委、市委宣传部、市文广新局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扩大入境旅游弹性消费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发展旅游电子商务，针对境外游客开展网上销售和托运业务。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建设面向入境游客的旅游商品销售网点和购物离境退税商店，积极落实退税相关政策。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市商务局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整合演艺、影视、阅读、展览等活动资源，进一步丰富夜间旅游产品。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市文广新局、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南京旅游集团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提升入境旅游服务品质</w:t>
            </w: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深入治理“不合理低价游”，加强旅行社合同管理，提供优质诚信服务。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及时妥善处理旅游投诉，保障入境游客合法权益；建立入境旅游信息反馈制度。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提供更加智慧便捷的国际化旅游公共咨询服务，全市4A以上景区配置便携式多语种电子语音导览器或手机导览软件。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2019年底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市旅游委、市文广新局、各区政府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加强措施保障</w:t>
            </w: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建立我市入境旅游工作联席会议制度。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市各相关部门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制定针对我市入境会奖专项旅游扶持奖励政策的实施细则。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市财政局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</w:p>
        </w:tc>
        <w:tc>
          <w:tcPr>
            <w:tcW w:w="8855" w:type="dxa"/>
            <w:gridSpan w:val="2"/>
            <w:vAlign w:val="center"/>
          </w:tcPr>
          <w:p>
            <w:pPr>
              <w:snapToGrid w:val="0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对接国家旅游“万名英才计划”，将入境旅游专业人才队伍建设纳入城市人才队伍建设规划，丰富入境旅游专业人才贮备。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2018-2020年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市旅游委、</w:t>
            </w:r>
          </w:p>
          <w:p>
            <w:pPr>
              <w:snapToGrid w:val="0"/>
              <w:jc w:val="center"/>
              <w:rPr>
                <w:rFonts w:hint="eastAsia" w:ascii="方正书宋_GBK" w:hAnsi="仿宋" w:eastAsia="方正书宋_GBK"/>
                <w:sz w:val="24"/>
                <w:szCs w:val="24"/>
              </w:rPr>
            </w:pPr>
            <w:r>
              <w:rPr>
                <w:rFonts w:hint="eastAsia" w:ascii="方正书宋_GBK" w:hAnsi="仿宋" w:eastAsia="方正书宋_GBK"/>
                <w:sz w:val="24"/>
                <w:szCs w:val="24"/>
              </w:rPr>
              <w:t>市人社局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00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2018-03-30T07:54:21Z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