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华文中宋" w:eastAsia="方正小标宋_GBK"/>
          <w:sz w:val="36"/>
          <w:szCs w:val="36"/>
        </w:rPr>
      </w:pPr>
      <w:r>
        <w:rPr>
          <w:rFonts w:hint="eastAsia" w:ascii="方正小标宋_GBK" w:hAnsi="华文中宋" w:eastAsia="方正小标宋_GBK"/>
          <w:sz w:val="36"/>
          <w:szCs w:val="36"/>
        </w:rPr>
        <w:t>南京市</w:t>
      </w:r>
      <w:r>
        <w:rPr>
          <w:rFonts w:hint="eastAsia" w:ascii="方正小标宋_GBK" w:hAnsi="华文中宋" w:eastAsia="方正小标宋_GBK"/>
          <w:sz w:val="36"/>
          <w:szCs w:val="36"/>
          <w:lang w:eastAsia="zh-CN"/>
        </w:rPr>
        <w:t>玄武</w:t>
      </w:r>
      <w:r>
        <w:rPr>
          <w:rFonts w:hint="eastAsia" w:ascii="方正小标宋_GBK" w:hAnsi="华文中宋" w:eastAsia="方正小标宋_GBK"/>
          <w:sz w:val="36"/>
          <w:szCs w:val="36"/>
        </w:rPr>
        <w:t>区保障性住房领域政府信息公开目录</w:t>
      </w:r>
    </w:p>
    <w:p>
      <w:pPr>
        <w:spacing w:line="560" w:lineRule="exact"/>
        <w:jc w:val="center"/>
        <w:rPr>
          <w:rFonts w:hint="eastAsia" w:ascii="方正小标宋_GBK" w:hAnsi="华文中宋" w:eastAsia="方正小标宋_GBK"/>
          <w:sz w:val="36"/>
          <w:szCs w:val="36"/>
        </w:rPr>
      </w:pPr>
    </w:p>
    <w:tbl>
      <w:tblPr>
        <w:tblStyle w:val="5"/>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01"/>
        <w:gridCol w:w="2552"/>
        <w:gridCol w:w="1134"/>
        <w:gridCol w:w="1276"/>
        <w:gridCol w:w="2976"/>
        <w:gridCol w:w="1134"/>
        <w:gridCol w:w="156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830" w:type="dxa"/>
            <w:gridSpan w:val="2"/>
            <w:tcBorders>
              <w:bottom w:val="single" w:color="auto" w:sz="4" w:space="0"/>
            </w:tcBorders>
            <w:shd w:val="pct10" w:color="auto" w:fill="auto"/>
            <w:vAlign w:val="center"/>
          </w:tcPr>
          <w:p>
            <w:pPr>
              <w:jc w:val="center"/>
              <w:rPr>
                <w:rFonts w:ascii="黑体" w:hAnsi="黑体" w:eastAsia="黑体"/>
              </w:rPr>
            </w:pPr>
            <w:r>
              <w:rPr>
                <w:rFonts w:ascii="黑体" w:hAnsi="黑体" w:eastAsia="黑体"/>
              </w:rPr>
              <w:t>公开名称</w:t>
            </w:r>
          </w:p>
        </w:tc>
        <w:tc>
          <w:tcPr>
            <w:tcW w:w="2552" w:type="dxa"/>
            <w:vMerge w:val="restart"/>
            <w:shd w:val="pct10" w:color="auto" w:fill="auto"/>
            <w:vAlign w:val="center"/>
          </w:tcPr>
          <w:p>
            <w:pPr>
              <w:jc w:val="center"/>
              <w:rPr>
                <w:rFonts w:ascii="黑体" w:hAnsi="黑体" w:eastAsia="黑体"/>
              </w:rPr>
            </w:pPr>
            <w:r>
              <w:rPr>
                <w:rFonts w:hint="eastAsia" w:ascii="黑体" w:hAnsi="黑体" w:eastAsia="黑体"/>
              </w:rPr>
              <w:t>公开内容</w:t>
            </w:r>
          </w:p>
        </w:tc>
        <w:tc>
          <w:tcPr>
            <w:tcW w:w="1134" w:type="dxa"/>
            <w:vMerge w:val="restart"/>
            <w:shd w:val="pct10" w:color="auto" w:fill="auto"/>
            <w:vAlign w:val="center"/>
          </w:tcPr>
          <w:p>
            <w:pPr>
              <w:jc w:val="center"/>
              <w:rPr>
                <w:rFonts w:ascii="黑体" w:hAnsi="黑体" w:eastAsia="黑体"/>
              </w:rPr>
            </w:pPr>
            <w:r>
              <w:rPr>
                <w:rFonts w:ascii="黑体" w:hAnsi="黑体" w:eastAsia="黑体"/>
              </w:rPr>
              <w:t>公开</w:t>
            </w:r>
            <w:r>
              <w:rPr>
                <w:rFonts w:hint="eastAsia" w:ascii="黑体" w:hAnsi="黑体" w:eastAsia="黑体"/>
              </w:rPr>
              <w:t>时限</w:t>
            </w:r>
          </w:p>
        </w:tc>
        <w:tc>
          <w:tcPr>
            <w:tcW w:w="1276" w:type="dxa"/>
            <w:vMerge w:val="restart"/>
            <w:shd w:val="pct10" w:color="auto" w:fill="auto"/>
            <w:vAlign w:val="center"/>
          </w:tcPr>
          <w:p>
            <w:pPr>
              <w:jc w:val="center"/>
              <w:rPr>
                <w:rFonts w:ascii="黑体" w:hAnsi="黑体" w:eastAsia="黑体"/>
              </w:rPr>
            </w:pPr>
            <w:r>
              <w:rPr>
                <w:rFonts w:ascii="黑体" w:hAnsi="黑体" w:eastAsia="黑体"/>
              </w:rPr>
              <w:t>公开</w:t>
            </w:r>
            <w:r>
              <w:rPr>
                <w:rFonts w:hint="eastAsia" w:ascii="黑体" w:hAnsi="黑体" w:eastAsia="黑体"/>
              </w:rPr>
              <w:t>主体</w:t>
            </w:r>
          </w:p>
        </w:tc>
        <w:tc>
          <w:tcPr>
            <w:tcW w:w="2976" w:type="dxa"/>
            <w:vMerge w:val="restart"/>
            <w:shd w:val="pct10" w:color="auto" w:fill="auto"/>
            <w:vAlign w:val="center"/>
          </w:tcPr>
          <w:p>
            <w:pPr>
              <w:jc w:val="center"/>
              <w:rPr>
                <w:rFonts w:ascii="黑体" w:hAnsi="黑体" w:eastAsia="黑体"/>
              </w:rPr>
            </w:pPr>
            <w:r>
              <w:rPr>
                <w:rFonts w:ascii="黑体" w:hAnsi="黑体" w:eastAsia="黑体"/>
              </w:rPr>
              <w:t>公开依据</w:t>
            </w:r>
          </w:p>
        </w:tc>
        <w:tc>
          <w:tcPr>
            <w:tcW w:w="1134" w:type="dxa"/>
            <w:vMerge w:val="restart"/>
            <w:shd w:val="pct10" w:color="auto" w:fill="auto"/>
            <w:vAlign w:val="center"/>
          </w:tcPr>
          <w:p>
            <w:pPr>
              <w:jc w:val="center"/>
              <w:rPr>
                <w:rFonts w:ascii="黑体" w:hAnsi="黑体" w:eastAsia="黑体"/>
              </w:rPr>
            </w:pPr>
            <w:r>
              <w:rPr>
                <w:rFonts w:ascii="黑体" w:hAnsi="黑体" w:eastAsia="黑体"/>
              </w:rPr>
              <w:t>公开方式</w:t>
            </w:r>
          </w:p>
        </w:tc>
        <w:tc>
          <w:tcPr>
            <w:tcW w:w="1560" w:type="dxa"/>
            <w:vMerge w:val="restart"/>
            <w:shd w:val="pct10" w:color="auto" w:fill="auto"/>
            <w:vAlign w:val="center"/>
          </w:tcPr>
          <w:p>
            <w:pPr>
              <w:jc w:val="center"/>
              <w:rPr>
                <w:rFonts w:ascii="黑体" w:hAnsi="黑体" w:eastAsia="黑体"/>
              </w:rPr>
            </w:pPr>
            <w:r>
              <w:rPr>
                <w:rFonts w:hint="eastAsia" w:ascii="黑体" w:hAnsi="黑体" w:eastAsia="黑体"/>
              </w:rPr>
              <w:t>公开渠道</w:t>
            </w:r>
          </w:p>
        </w:tc>
        <w:tc>
          <w:tcPr>
            <w:tcW w:w="1134" w:type="dxa"/>
            <w:vMerge w:val="restart"/>
            <w:shd w:val="pct10" w:color="auto" w:fill="auto"/>
            <w:vAlign w:val="center"/>
          </w:tcPr>
          <w:p>
            <w:pPr>
              <w:jc w:val="center"/>
              <w:rPr>
                <w:rFonts w:ascii="黑体" w:hAnsi="黑体" w:eastAsia="黑体"/>
              </w:rPr>
            </w:pPr>
            <w:r>
              <w:rPr>
                <w:rFonts w:ascii="黑体" w:hAnsi="黑体" w:eastAsia="黑体"/>
              </w:rPr>
              <w:t>公开对象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9" w:type="dxa"/>
            <w:shd w:val="pct10" w:color="auto" w:fill="auto"/>
            <w:vAlign w:val="center"/>
          </w:tcPr>
          <w:p>
            <w:pPr>
              <w:jc w:val="center"/>
              <w:rPr>
                <w:b/>
              </w:rPr>
            </w:pPr>
            <w:r>
              <w:rPr>
                <w:b/>
              </w:rPr>
              <w:t>一级目录</w:t>
            </w:r>
          </w:p>
        </w:tc>
        <w:tc>
          <w:tcPr>
            <w:tcW w:w="1701" w:type="dxa"/>
            <w:shd w:val="pct10" w:color="auto" w:fill="auto"/>
            <w:vAlign w:val="center"/>
          </w:tcPr>
          <w:p>
            <w:pPr>
              <w:jc w:val="center"/>
              <w:rPr>
                <w:b/>
              </w:rPr>
            </w:pPr>
            <w:r>
              <w:rPr>
                <w:b/>
              </w:rPr>
              <w:t>二级目录</w:t>
            </w:r>
          </w:p>
        </w:tc>
        <w:tc>
          <w:tcPr>
            <w:tcW w:w="2552" w:type="dxa"/>
            <w:vMerge w:val="continue"/>
          </w:tcPr>
          <w:p>
            <w:pPr>
              <w:jc w:val="left"/>
            </w:pPr>
          </w:p>
        </w:tc>
        <w:tc>
          <w:tcPr>
            <w:tcW w:w="1134" w:type="dxa"/>
            <w:vMerge w:val="continue"/>
            <w:vAlign w:val="center"/>
          </w:tcPr>
          <w:p>
            <w:pPr>
              <w:jc w:val="center"/>
            </w:pPr>
          </w:p>
        </w:tc>
        <w:tc>
          <w:tcPr>
            <w:tcW w:w="1276" w:type="dxa"/>
            <w:vMerge w:val="continue"/>
            <w:vAlign w:val="center"/>
          </w:tcPr>
          <w:p/>
        </w:tc>
        <w:tc>
          <w:tcPr>
            <w:tcW w:w="2976" w:type="dxa"/>
            <w:vMerge w:val="continue"/>
          </w:tcPr>
          <w:p>
            <w:pPr>
              <w:jc w:val="center"/>
            </w:pPr>
          </w:p>
        </w:tc>
        <w:tc>
          <w:tcPr>
            <w:tcW w:w="1134" w:type="dxa"/>
            <w:vMerge w:val="continue"/>
            <w:vAlign w:val="center"/>
          </w:tcPr>
          <w:p>
            <w:pPr>
              <w:jc w:val="center"/>
            </w:pPr>
          </w:p>
        </w:tc>
        <w:tc>
          <w:tcPr>
            <w:tcW w:w="1560" w:type="dxa"/>
            <w:vMerge w:val="continue"/>
            <w:vAlign w:val="center"/>
          </w:tcPr>
          <w:p>
            <w:pPr>
              <w:jc w:val="center"/>
            </w:pP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pPr>
            <w:r>
              <w:rPr>
                <w:rFonts w:hint="eastAsia"/>
              </w:rPr>
              <w:t>配给管理</w:t>
            </w:r>
          </w:p>
        </w:tc>
        <w:tc>
          <w:tcPr>
            <w:tcW w:w="1701" w:type="dxa"/>
            <w:vAlign w:val="center"/>
          </w:tcPr>
          <w:p>
            <w:pPr>
              <w:jc w:val="center"/>
            </w:pPr>
            <w:r>
              <w:rPr>
                <w:rFonts w:hint="eastAsia"/>
              </w:rPr>
              <w:t>保障性住房申请受理</w:t>
            </w:r>
          </w:p>
        </w:tc>
        <w:tc>
          <w:tcPr>
            <w:tcW w:w="2552" w:type="dxa"/>
            <w:vAlign w:val="center"/>
          </w:tcPr>
          <w:p>
            <w:pPr>
              <w:jc w:val="left"/>
            </w:pPr>
            <w:r>
              <w:rPr>
                <w:rFonts w:hint="eastAsia"/>
              </w:rPr>
              <w:t>申请受理公告、申请条件程序期限和所需材料</w:t>
            </w:r>
          </w:p>
        </w:tc>
        <w:tc>
          <w:tcPr>
            <w:tcW w:w="1134" w:type="dxa"/>
            <w:vMerge w:val="restart"/>
            <w:vAlign w:val="center"/>
          </w:tcPr>
          <w:p>
            <w:pPr>
              <w:jc w:val="left"/>
            </w:pPr>
            <w:r>
              <w:rPr>
                <w:rFonts w:hint="eastAsia"/>
              </w:rPr>
              <w:t>信息形成（变更）20个工作日内</w:t>
            </w:r>
          </w:p>
        </w:tc>
        <w:tc>
          <w:tcPr>
            <w:tcW w:w="1276" w:type="dxa"/>
            <w:vMerge w:val="restart"/>
            <w:vAlign w:val="center"/>
          </w:tcPr>
          <w:p>
            <w:pPr>
              <w:jc w:val="center"/>
            </w:pPr>
            <w:r>
              <w:rPr>
                <w:rFonts w:hint="eastAsia"/>
              </w:rPr>
              <w:t>保障性住房政务信息制作部门保存部门</w:t>
            </w:r>
          </w:p>
        </w:tc>
        <w:tc>
          <w:tcPr>
            <w:tcW w:w="2976" w:type="dxa"/>
            <w:vMerge w:val="restart"/>
            <w:vAlign w:val="center"/>
          </w:tcPr>
          <w:p>
            <w:pPr>
              <w:jc w:val="left"/>
            </w:pPr>
            <w:r>
              <w:rPr>
                <w:rFonts w:hint="eastAsia"/>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国务院办公厅关于印发2018年政务公开工作要点的通知》</w:t>
            </w:r>
          </w:p>
        </w:tc>
        <w:tc>
          <w:tcPr>
            <w:tcW w:w="1134" w:type="dxa"/>
            <w:vMerge w:val="restart"/>
            <w:vAlign w:val="center"/>
          </w:tcPr>
          <w:p>
            <w:pPr>
              <w:jc w:val="center"/>
            </w:pPr>
            <w:r>
              <w:t>主动公开</w:t>
            </w:r>
          </w:p>
        </w:tc>
        <w:tc>
          <w:tcPr>
            <w:tcW w:w="1560" w:type="dxa"/>
            <w:vAlign w:val="center"/>
          </w:tcPr>
          <w:p>
            <w:pPr>
              <w:jc w:val="center"/>
            </w:pPr>
            <w:r>
              <w:t>政府网站</w:t>
            </w:r>
          </w:p>
          <w:p>
            <w:pPr>
              <w:jc w:val="center"/>
            </w:pPr>
            <w:r>
              <w:t>政务服务中心</w:t>
            </w:r>
          </w:p>
        </w:tc>
        <w:tc>
          <w:tcPr>
            <w:tcW w:w="1134" w:type="dxa"/>
            <w:vMerge w:val="restart"/>
            <w:vAlign w:val="center"/>
          </w:tcPr>
          <w:p>
            <w:pPr>
              <w:jc w:val="center"/>
            </w:pPr>
            <w: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vAlign w:val="center"/>
          </w:tcPr>
          <w:p>
            <w:pPr>
              <w:jc w:val="center"/>
            </w:pPr>
            <w:r>
              <w:rPr>
                <w:rFonts w:hint="eastAsia"/>
              </w:rPr>
              <w:t>选房或摇号公告</w:t>
            </w:r>
          </w:p>
        </w:tc>
        <w:tc>
          <w:tcPr>
            <w:tcW w:w="2552" w:type="dxa"/>
            <w:vAlign w:val="center"/>
          </w:tcPr>
          <w:p>
            <w:pPr>
              <w:jc w:val="left"/>
            </w:pPr>
            <w:r>
              <w:rPr>
                <w:rFonts w:hint="eastAsia"/>
              </w:rPr>
              <w:t>公告名称、发布部门、发布日期、正文，包括时间地点流程注意事项等</w:t>
            </w:r>
          </w:p>
        </w:tc>
        <w:tc>
          <w:tcPr>
            <w:tcW w:w="1134" w:type="dxa"/>
            <w:vMerge w:val="continue"/>
            <w:vAlign w:val="center"/>
          </w:tcPr>
          <w:p>
            <w:pPr>
              <w:jc w:val="left"/>
            </w:pPr>
          </w:p>
        </w:tc>
        <w:tc>
          <w:tcPr>
            <w:tcW w:w="1276" w:type="dxa"/>
            <w:vMerge w:val="continue"/>
            <w:vAlign w:val="center"/>
          </w:tcPr>
          <w:p>
            <w:pPr>
              <w:jc w:val="center"/>
            </w:pPr>
          </w:p>
        </w:tc>
        <w:tc>
          <w:tcPr>
            <w:tcW w:w="2976" w:type="dxa"/>
            <w:vMerge w:val="continue"/>
            <w:vAlign w:val="center"/>
          </w:tcPr>
          <w:p>
            <w:pPr>
              <w:jc w:val="left"/>
            </w:pPr>
          </w:p>
        </w:tc>
        <w:tc>
          <w:tcPr>
            <w:tcW w:w="1134" w:type="dxa"/>
            <w:vMerge w:val="continue"/>
            <w:vAlign w:val="center"/>
          </w:tcPr>
          <w:p>
            <w:pPr>
              <w:jc w:val="center"/>
            </w:pPr>
          </w:p>
        </w:tc>
        <w:tc>
          <w:tcPr>
            <w:tcW w:w="1560" w:type="dxa"/>
            <w:vAlign w:val="center"/>
          </w:tcPr>
          <w:p>
            <w:pPr>
              <w:jc w:val="center"/>
            </w:pPr>
            <w:r>
              <w:t>政府网站</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vAlign w:val="center"/>
          </w:tcPr>
          <w:p>
            <w:pPr>
              <w:jc w:val="center"/>
            </w:pPr>
            <w:r>
              <w:rPr>
                <w:rFonts w:hint="eastAsia"/>
              </w:rPr>
              <w:t>租赁补贴发放</w:t>
            </w:r>
          </w:p>
        </w:tc>
        <w:tc>
          <w:tcPr>
            <w:tcW w:w="2552" w:type="dxa"/>
            <w:vAlign w:val="center"/>
          </w:tcPr>
          <w:p>
            <w:pPr>
              <w:jc w:val="left"/>
            </w:pPr>
            <w:r>
              <w:rPr>
                <w:rFonts w:hint="eastAsia"/>
              </w:rPr>
              <w:t>发放金额、发放年度、月份日期、发放方式</w:t>
            </w:r>
          </w:p>
        </w:tc>
        <w:tc>
          <w:tcPr>
            <w:tcW w:w="1134" w:type="dxa"/>
            <w:vMerge w:val="continue"/>
            <w:vAlign w:val="center"/>
          </w:tcPr>
          <w:p>
            <w:pPr>
              <w:jc w:val="left"/>
            </w:pPr>
          </w:p>
        </w:tc>
        <w:tc>
          <w:tcPr>
            <w:tcW w:w="1276" w:type="dxa"/>
            <w:vMerge w:val="continue"/>
            <w:vAlign w:val="center"/>
          </w:tcPr>
          <w:p>
            <w:pPr>
              <w:jc w:val="center"/>
            </w:pPr>
          </w:p>
        </w:tc>
        <w:tc>
          <w:tcPr>
            <w:tcW w:w="2976" w:type="dxa"/>
            <w:vMerge w:val="continue"/>
            <w:vAlign w:val="center"/>
          </w:tcPr>
          <w:p>
            <w:pPr>
              <w:jc w:val="left"/>
            </w:pPr>
          </w:p>
        </w:tc>
        <w:tc>
          <w:tcPr>
            <w:tcW w:w="1134" w:type="dxa"/>
            <w:vMerge w:val="continue"/>
            <w:vAlign w:val="center"/>
          </w:tcPr>
          <w:p>
            <w:pPr>
              <w:jc w:val="center"/>
            </w:pPr>
          </w:p>
        </w:tc>
        <w:tc>
          <w:tcPr>
            <w:tcW w:w="1560" w:type="dxa"/>
            <w:vAlign w:val="center"/>
          </w:tcPr>
          <w:p>
            <w:pPr>
              <w:jc w:val="center"/>
            </w:pPr>
            <w:r>
              <w:t>政府网站</w:t>
            </w:r>
          </w:p>
          <w:p>
            <w:pPr>
              <w:jc w:val="center"/>
            </w:pPr>
            <w:r>
              <w:t>政务服务中心</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pPr>
            <w:r>
              <w:rPr>
                <w:rFonts w:hint="eastAsia"/>
              </w:rPr>
              <w:t>办事指南</w:t>
            </w:r>
          </w:p>
        </w:tc>
        <w:tc>
          <w:tcPr>
            <w:tcW w:w="1701" w:type="dxa"/>
            <w:vAlign w:val="center"/>
          </w:tcPr>
          <w:p>
            <w:pPr>
              <w:jc w:val="center"/>
            </w:pPr>
            <w:r>
              <w:rPr>
                <w:rFonts w:hint="eastAsia"/>
              </w:rPr>
              <w:t>申请保障</w:t>
            </w:r>
          </w:p>
        </w:tc>
        <w:tc>
          <w:tcPr>
            <w:tcW w:w="2552" w:type="dxa"/>
            <w:vAlign w:val="center"/>
          </w:tcPr>
          <w:p>
            <w:pPr>
              <w:jc w:val="left"/>
            </w:pPr>
            <w:r>
              <w:rPr>
                <w:rFonts w:hint="eastAsia"/>
              </w:rPr>
              <w:t>申请条件、申请所需材料及范本、申请流程和办理时限、申请受理（办理）机构、受理地点、咨询电话、监督电话等</w:t>
            </w:r>
          </w:p>
        </w:tc>
        <w:tc>
          <w:tcPr>
            <w:tcW w:w="1134" w:type="dxa"/>
            <w:vMerge w:val="continue"/>
            <w:vAlign w:val="center"/>
          </w:tcPr>
          <w:p>
            <w:pPr>
              <w:jc w:val="left"/>
            </w:pPr>
          </w:p>
        </w:tc>
        <w:tc>
          <w:tcPr>
            <w:tcW w:w="1276" w:type="dxa"/>
            <w:vMerge w:val="continue"/>
            <w:vAlign w:val="center"/>
          </w:tcPr>
          <w:p>
            <w:pPr>
              <w:jc w:val="center"/>
            </w:pPr>
          </w:p>
        </w:tc>
        <w:tc>
          <w:tcPr>
            <w:tcW w:w="2976" w:type="dxa"/>
            <w:vMerge w:val="restart"/>
            <w:vAlign w:val="center"/>
          </w:tcPr>
          <w:p>
            <w:pPr>
              <w:jc w:val="left"/>
            </w:pPr>
            <w:r>
              <w:rPr>
                <w:rFonts w:hint="eastAsia"/>
              </w:rPr>
              <w:t>《中共中央办公厅国务院办公厅印发〈关于全面推进政务公开工作的意见〉的通知》、《国务院关于加快推进“互联网+ 政务服务”工作的指导意见》</w:t>
            </w:r>
          </w:p>
        </w:tc>
        <w:tc>
          <w:tcPr>
            <w:tcW w:w="1134" w:type="dxa"/>
            <w:vMerge w:val="continue"/>
            <w:vAlign w:val="center"/>
          </w:tcPr>
          <w:p>
            <w:pPr>
              <w:jc w:val="center"/>
            </w:pPr>
          </w:p>
        </w:tc>
        <w:tc>
          <w:tcPr>
            <w:tcW w:w="1560" w:type="dxa"/>
            <w:vAlign w:val="center"/>
          </w:tcPr>
          <w:p>
            <w:pPr>
              <w:jc w:val="center"/>
            </w:pPr>
            <w:r>
              <w:t>政府网站</w:t>
            </w:r>
          </w:p>
          <w:p>
            <w:pPr>
              <w:jc w:val="center"/>
            </w:pPr>
            <w:r>
              <w:t>政务服务中心</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pPr>
            <w:r>
              <w:rPr>
                <w:rFonts w:hint="eastAsia"/>
              </w:rPr>
              <w:t>回应关切</w:t>
            </w:r>
          </w:p>
        </w:tc>
        <w:tc>
          <w:tcPr>
            <w:tcW w:w="1701" w:type="dxa"/>
            <w:vAlign w:val="center"/>
          </w:tcPr>
          <w:p>
            <w:pPr>
              <w:jc w:val="center"/>
            </w:pPr>
            <w:r>
              <w:rPr>
                <w:rFonts w:hint="eastAsia"/>
              </w:rPr>
              <w:t>主动回应</w:t>
            </w:r>
          </w:p>
        </w:tc>
        <w:tc>
          <w:tcPr>
            <w:tcW w:w="2552" w:type="dxa"/>
            <w:vAlign w:val="center"/>
          </w:tcPr>
          <w:p>
            <w:pPr>
              <w:jc w:val="left"/>
            </w:pPr>
            <w:r>
              <w:rPr>
                <w:rFonts w:hint="eastAsia"/>
              </w:rPr>
              <w:t>公众提出的意见建议及回复情况、公开突发事件应对情况等</w:t>
            </w:r>
          </w:p>
        </w:tc>
        <w:tc>
          <w:tcPr>
            <w:tcW w:w="1134" w:type="dxa"/>
            <w:vMerge w:val="continue"/>
            <w:vAlign w:val="center"/>
          </w:tcPr>
          <w:p>
            <w:pPr>
              <w:jc w:val="left"/>
            </w:pPr>
          </w:p>
        </w:tc>
        <w:tc>
          <w:tcPr>
            <w:tcW w:w="1276" w:type="dxa"/>
            <w:vMerge w:val="continue"/>
            <w:vAlign w:val="center"/>
          </w:tcPr>
          <w:p>
            <w:pPr>
              <w:jc w:val="center"/>
            </w:pPr>
          </w:p>
        </w:tc>
        <w:tc>
          <w:tcPr>
            <w:tcW w:w="2976" w:type="dxa"/>
            <w:vMerge w:val="continue"/>
            <w:vAlign w:val="center"/>
          </w:tcPr>
          <w:p>
            <w:pPr>
              <w:jc w:val="center"/>
            </w:pPr>
          </w:p>
        </w:tc>
        <w:tc>
          <w:tcPr>
            <w:tcW w:w="1134" w:type="dxa"/>
            <w:vMerge w:val="continue"/>
            <w:vAlign w:val="center"/>
          </w:tcPr>
          <w:p>
            <w:pPr>
              <w:jc w:val="center"/>
            </w:pPr>
          </w:p>
        </w:tc>
        <w:tc>
          <w:tcPr>
            <w:tcW w:w="1560" w:type="dxa"/>
            <w:vAlign w:val="center"/>
          </w:tcPr>
          <w:p>
            <w:pPr>
              <w:jc w:val="center"/>
            </w:pPr>
            <w:r>
              <w:t>政府网站</w:t>
            </w:r>
          </w:p>
          <w:p>
            <w:pPr>
              <w:jc w:val="center"/>
            </w:pPr>
            <w:r>
              <w:t>政务服务中心</w:t>
            </w: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pPr>
            <w:r>
              <w:t>评价结果</w:t>
            </w:r>
          </w:p>
        </w:tc>
        <w:tc>
          <w:tcPr>
            <w:tcW w:w="1701" w:type="dxa"/>
            <w:vAlign w:val="center"/>
          </w:tcPr>
          <w:p>
            <w:pPr>
              <w:jc w:val="center"/>
            </w:pPr>
            <w:r>
              <w:rPr>
                <w:rFonts w:hint="eastAsia"/>
              </w:rPr>
              <w:t>上级评价表彰情况</w:t>
            </w:r>
          </w:p>
        </w:tc>
        <w:tc>
          <w:tcPr>
            <w:tcW w:w="2552" w:type="dxa"/>
            <w:vAlign w:val="center"/>
          </w:tcPr>
          <w:p>
            <w:pPr>
              <w:jc w:val="left"/>
            </w:pPr>
            <w:r>
              <w:rPr>
                <w:rFonts w:hint="eastAsia"/>
              </w:rPr>
              <w:t>上级对本地区保障性住房领域年度工作完成情况的评价通报排名、获上级表彰入围上级推广示范情况等</w:t>
            </w:r>
          </w:p>
        </w:tc>
        <w:tc>
          <w:tcPr>
            <w:tcW w:w="1134" w:type="dxa"/>
            <w:vMerge w:val="restart"/>
            <w:vAlign w:val="center"/>
          </w:tcPr>
          <w:p>
            <w:pPr>
              <w:jc w:val="left"/>
            </w:pPr>
            <w:r>
              <w:rPr>
                <w:rFonts w:hint="eastAsia"/>
              </w:rPr>
              <w:t>信息形成（变更）20个工作日内</w:t>
            </w:r>
          </w:p>
        </w:tc>
        <w:tc>
          <w:tcPr>
            <w:tcW w:w="1276" w:type="dxa"/>
            <w:vMerge w:val="restart"/>
            <w:vAlign w:val="center"/>
          </w:tcPr>
          <w:p>
            <w:pPr>
              <w:jc w:val="center"/>
            </w:pPr>
            <w:r>
              <w:rPr>
                <w:rFonts w:hint="eastAsia"/>
              </w:rPr>
              <w:t>保障性住房政</w:t>
            </w:r>
            <w:bookmarkStart w:id="0" w:name="_GoBack"/>
            <w:bookmarkEnd w:id="0"/>
            <w:r>
              <w:rPr>
                <w:rFonts w:hint="eastAsia"/>
              </w:rPr>
              <w:t>务信息制作部门保存部门</w:t>
            </w:r>
          </w:p>
        </w:tc>
        <w:tc>
          <w:tcPr>
            <w:tcW w:w="2976" w:type="dxa"/>
            <w:vMerge w:val="restart"/>
            <w:vAlign w:val="center"/>
          </w:tcPr>
          <w:p>
            <w:pPr>
              <w:jc w:val="left"/>
            </w:pPr>
            <w:r>
              <w:rPr>
                <w:rFonts w:hint="eastAsia"/>
              </w:rPr>
              <w:t>《中共中央办公厅国务院办公厅印发〈关于全面推进政务公开工作的意见〉的通知》、《国务院办公厅关于推进公共资源配置领域政府信息公开的意见》、《国务院办公厅关于印发2018年政务公开工作要点的通知》</w:t>
            </w:r>
          </w:p>
        </w:tc>
        <w:tc>
          <w:tcPr>
            <w:tcW w:w="1134" w:type="dxa"/>
            <w:vMerge w:val="restart"/>
            <w:vAlign w:val="center"/>
          </w:tcPr>
          <w:p>
            <w:pPr>
              <w:jc w:val="center"/>
            </w:pPr>
            <w:r>
              <w:t>主动公开</w:t>
            </w:r>
          </w:p>
        </w:tc>
        <w:tc>
          <w:tcPr>
            <w:tcW w:w="1560" w:type="dxa"/>
            <w:vMerge w:val="restart"/>
            <w:vAlign w:val="center"/>
          </w:tcPr>
          <w:p>
            <w:pPr>
              <w:jc w:val="center"/>
            </w:pPr>
            <w:r>
              <w:t>政府网站</w:t>
            </w:r>
          </w:p>
        </w:tc>
        <w:tc>
          <w:tcPr>
            <w:tcW w:w="1134" w:type="dxa"/>
            <w:vMerge w:val="restart"/>
            <w:vAlign w:val="center"/>
          </w:tcPr>
          <w:p>
            <w:pPr>
              <w:jc w:val="center"/>
            </w:pPr>
            <w:r>
              <w:t>全社会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pPr>
          </w:p>
        </w:tc>
        <w:tc>
          <w:tcPr>
            <w:tcW w:w="1701" w:type="dxa"/>
            <w:vAlign w:val="center"/>
          </w:tcPr>
          <w:p>
            <w:pPr>
              <w:jc w:val="center"/>
            </w:pPr>
            <w:r>
              <w:rPr>
                <w:rFonts w:hint="eastAsia"/>
              </w:rPr>
              <w:t>社会评价情况</w:t>
            </w:r>
          </w:p>
        </w:tc>
        <w:tc>
          <w:tcPr>
            <w:tcW w:w="2552" w:type="dxa"/>
            <w:vAlign w:val="center"/>
          </w:tcPr>
          <w:p>
            <w:pPr>
              <w:jc w:val="left"/>
            </w:pPr>
            <w:r>
              <w:rPr>
                <w:rFonts w:hint="eastAsia"/>
              </w:rPr>
              <w:t>公众对保障性住房工作满意度评价</w:t>
            </w:r>
          </w:p>
        </w:tc>
        <w:tc>
          <w:tcPr>
            <w:tcW w:w="1134" w:type="dxa"/>
            <w:vMerge w:val="continue"/>
            <w:vAlign w:val="center"/>
          </w:tcPr>
          <w:p>
            <w:pPr>
              <w:jc w:val="left"/>
            </w:pPr>
          </w:p>
        </w:tc>
        <w:tc>
          <w:tcPr>
            <w:tcW w:w="1276" w:type="dxa"/>
            <w:vMerge w:val="continue"/>
            <w:vAlign w:val="center"/>
          </w:tcPr>
          <w:p>
            <w:pPr>
              <w:jc w:val="center"/>
            </w:pPr>
          </w:p>
        </w:tc>
        <w:tc>
          <w:tcPr>
            <w:tcW w:w="2976" w:type="dxa"/>
            <w:vMerge w:val="continue"/>
            <w:vAlign w:val="center"/>
          </w:tcPr>
          <w:p>
            <w:pPr>
              <w:jc w:val="center"/>
            </w:pPr>
          </w:p>
        </w:tc>
        <w:tc>
          <w:tcPr>
            <w:tcW w:w="1134" w:type="dxa"/>
            <w:vMerge w:val="continue"/>
            <w:vAlign w:val="center"/>
          </w:tcPr>
          <w:p>
            <w:pPr>
              <w:jc w:val="center"/>
            </w:pPr>
          </w:p>
        </w:tc>
        <w:tc>
          <w:tcPr>
            <w:tcW w:w="1560" w:type="dxa"/>
            <w:vMerge w:val="continue"/>
            <w:vAlign w:val="center"/>
          </w:tcPr>
          <w:p>
            <w:pPr>
              <w:jc w:val="center"/>
            </w:pPr>
          </w:p>
        </w:tc>
        <w:tc>
          <w:tcPr>
            <w:tcW w:w="1134" w:type="dxa"/>
            <w:vMerge w:val="continue"/>
            <w:vAlign w:val="center"/>
          </w:tcPr>
          <w:p>
            <w:pPr>
              <w:jc w:val="center"/>
            </w:pPr>
          </w:p>
        </w:tc>
      </w:tr>
    </w:tbl>
    <w:p>
      <w:pPr>
        <w:spacing w:line="560" w:lineRule="exact"/>
        <w:rPr>
          <w:sz w:val="32"/>
          <w:szCs w:val="32"/>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94"/>
    <w:rsid w:val="00023E48"/>
    <w:rsid w:val="000265F9"/>
    <w:rsid w:val="000569F8"/>
    <w:rsid w:val="00084F6E"/>
    <w:rsid w:val="0008726A"/>
    <w:rsid w:val="0009292B"/>
    <w:rsid w:val="00094CB5"/>
    <w:rsid w:val="00123415"/>
    <w:rsid w:val="00142691"/>
    <w:rsid w:val="00157013"/>
    <w:rsid w:val="00166E51"/>
    <w:rsid w:val="0019282F"/>
    <w:rsid w:val="001B60A0"/>
    <w:rsid w:val="001E2737"/>
    <w:rsid w:val="00206C30"/>
    <w:rsid w:val="00242C70"/>
    <w:rsid w:val="00245348"/>
    <w:rsid w:val="002B7620"/>
    <w:rsid w:val="002F1828"/>
    <w:rsid w:val="003117AB"/>
    <w:rsid w:val="00330DBF"/>
    <w:rsid w:val="0036134B"/>
    <w:rsid w:val="00367083"/>
    <w:rsid w:val="003879D1"/>
    <w:rsid w:val="003B0F98"/>
    <w:rsid w:val="003D31CC"/>
    <w:rsid w:val="003E4DFB"/>
    <w:rsid w:val="003F2F25"/>
    <w:rsid w:val="0043432F"/>
    <w:rsid w:val="0045231A"/>
    <w:rsid w:val="004B27D4"/>
    <w:rsid w:val="00532054"/>
    <w:rsid w:val="005457A2"/>
    <w:rsid w:val="0056729B"/>
    <w:rsid w:val="00573E31"/>
    <w:rsid w:val="0058437C"/>
    <w:rsid w:val="00586B48"/>
    <w:rsid w:val="00593434"/>
    <w:rsid w:val="005B6B26"/>
    <w:rsid w:val="0061692A"/>
    <w:rsid w:val="006251C3"/>
    <w:rsid w:val="00637CB6"/>
    <w:rsid w:val="006436B3"/>
    <w:rsid w:val="00645233"/>
    <w:rsid w:val="006562CB"/>
    <w:rsid w:val="00673F8C"/>
    <w:rsid w:val="00682E8E"/>
    <w:rsid w:val="006B0323"/>
    <w:rsid w:val="007169EE"/>
    <w:rsid w:val="00720C95"/>
    <w:rsid w:val="00740275"/>
    <w:rsid w:val="00776475"/>
    <w:rsid w:val="007800A3"/>
    <w:rsid w:val="00787ED3"/>
    <w:rsid w:val="007C73FB"/>
    <w:rsid w:val="007E065A"/>
    <w:rsid w:val="00811F3A"/>
    <w:rsid w:val="008356D1"/>
    <w:rsid w:val="0087169D"/>
    <w:rsid w:val="00895EBD"/>
    <w:rsid w:val="008A1B04"/>
    <w:rsid w:val="008D0794"/>
    <w:rsid w:val="008D3076"/>
    <w:rsid w:val="00920711"/>
    <w:rsid w:val="009D7C4C"/>
    <w:rsid w:val="009F3115"/>
    <w:rsid w:val="009F67AC"/>
    <w:rsid w:val="00A07C64"/>
    <w:rsid w:val="00A12857"/>
    <w:rsid w:val="00A42FE4"/>
    <w:rsid w:val="00A57FFC"/>
    <w:rsid w:val="00AD0CD1"/>
    <w:rsid w:val="00B56849"/>
    <w:rsid w:val="00B7528F"/>
    <w:rsid w:val="00BB7A51"/>
    <w:rsid w:val="00BE267F"/>
    <w:rsid w:val="00BE6DCF"/>
    <w:rsid w:val="00C00E96"/>
    <w:rsid w:val="00C220AD"/>
    <w:rsid w:val="00C62EFE"/>
    <w:rsid w:val="00C711E2"/>
    <w:rsid w:val="00C74C2B"/>
    <w:rsid w:val="00C822DD"/>
    <w:rsid w:val="00C83364"/>
    <w:rsid w:val="00CA09F5"/>
    <w:rsid w:val="00CA5FBA"/>
    <w:rsid w:val="00CC327F"/>
    <w:rsid w:val="00CD256D"/>
    <w:rsid w:val="00D22A82"/>
    <w:rsid w:val="00D22E87"/>
    <w:rsid w:val="00D25094"/>
    <w:rsid w:val="00D75041"/>
    <w:rsid w:val="00DE13EE"/>
    <w:rsid w:val="00E03B57"/>
    <w:rsid w:val="00E37D5C"/>
    <w:rsid w:val="00E44A60"/>
    <w:rsid w:val="00E63D3C"/>
    <w:rsid w:val="00E97483"/>
    <w:rsid w:val="00F32380"/>
    <w:rsid w:val="00F50F62"/>
    <w:rsid w:val="00F60D54"/>
    <w:rsid w:val="00F750F9"/>
    <w:rsid w:val="00F766D8"/>
    <w:rsid w:val="00FB0C38"/>
    <w:rsid w:val="00FB3DAA"/>
    <w:rsid w:val="00FC0BCA"/>
    <w:rsid w:val="00FE17EA"/>
    <w:rsid w:val="00FE72F3"/>
    <w:rsid w:val="22AF0D15"/>
    <w:rsid w:val="73B05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155</Words>
  <Characters>888</Characters>
  <Lines>7</Lines>
  <Paragraphs>2</Paragraphs>
  <TotalTime>234</TotalTime>
  <ScaleCrop>false</ScaleCrop>
  <LinksUpToDate>false</LinksUpToDate>
  <CharactersWithSpaces>1041</CharactersWithSpaces>
  <Application>WPS Office_11.1.0.10026_F1E327BC-269C-435d-A152-05C5408002CA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2020-11-26T00:31:00Z</dcterms:created>
  <dc:creator>米苏(misu)</dc:creator>
  <cp:lastModifiedBy>Administrator</cp:lastModifiedBy>
  <dcterms:modified xsi:type="dcterms:W3CDTF">2020-12-14T07:07:34Z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