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华文中宋" w:eastAsia="方正小标宋_GBK"/>
          <w:sz w:val="36"/>
          <w:szCs w:val="36"/>
        </w:rPr>
      </w:pPr>
      <w:r>
        <w:rPr>
          <w:rFonts w:hint="eastAsia" w:ascii="方正小标宋_GBK" w:hAnsi="华文中宋" w:eastAsia="方正小标宋_GBK"/>
          <w:sz w:val="36"/>
          <w:szCs w:val="36"/>
        </w:rPr>
        <w:t>南京市</w:t>
      </w:r>
      <w:r>
        <w:rPr>
          <w:rFonts w:hint="eastAsia" w:ascii="方正小标宋_GBK" w:hAnsi="华文中宋" w:eastAsia="方正小标宋_GBK"/>
          <w:sz w:val="36"/>
          <w:szCs w:val="36"/>
          <w:lang w:eastAsia="zh-CN"/>
        </w:rPr>
        <w:t>玄武</w:t>
      </w:r>
      <w:r>
        <w:rPr>
          <w:rFonts w:hint="eastAsia" w:ascii="方正小标宋_GBK" w:hAnsi="华文中宋" w:eastAsia="方正小标宋_GBK"/>
          <w:sz w:val="36"/>
          <w:szCs w:val="36"/>
        </w:rPr>
        <w:t>区养老服务领域政府信息公开目录</w:t>
      </w:r>
    </w:p>
    <w:tbl>
      <w:tblPr>
        <w:tblStyle w:val="5"/>
        <w:tblW w:w="14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701"/>
        <w:gridCol w:w="2410"/>
        <w:gridCol w:w="2977"/>
        <w:gridCol w:w="1417"/>
        <w:gridCol w:w="1134"/>
        <w:gridCol w:w="1276"/>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830" w:type="dxa"/>
            <w:gridSpan w:val="2"/>
            <w:tcBorders>
              <w:bottom w:val="single" w:color="auto" w:sz="4" w:space="0"/>
            </w:tcBorders>
            <w:shd w:val="pct10" w:color="auto" w:fill="auto"/>
            <w:vAlign w:val="center"/>
          </w:tcPr>
          <w:p>
            <w:pPr>
              <w:jc w:val="center"/>
              <w:rPr>
                <w:rFonts w:ascii="黑体" w:hAnsi="黑体" w:eastAsia="黑体"/>
              </w:rPr>
            </w:pPr>
            <w:bookmarkStart w:id="0" w:name="_GoBack" w:colFirst="0" w:colLast="8"/>
            <w:r>
              <w:rPr>
                <w:rFonts w:ascii="黑体" w:hAnsi="黑体" w:eastAsia="黑体"/>
              </w:rPr>
              <w:t>公开名称</w:t>
            </w:r>
          </w:p>
        </w:tc>
        <w:tc>
          <w:tcPr>
            <w:tcW w:w="2410" w:type="dxa"/>
            <w:vMerge w:val="restart"/>
            <w:shd w:val="pct10" w:color="auto" w:fill="auto"/>
            <w:vAlign w:val="center"/>
          </w:tcPr>
          <w:p>
            <w:pPr>
              <w:jc w:val="center"/>
              <w:rPr>
                <w:rFonts w:ascii="黑体" w:hAnsi="黑体" w:eastAsia="黑体"/>
              </w:rPr>
            </w:pPr>
            <w:r>
              <w:rPr>
                <w:rFonts w:hint="eastAsia" w:ascii="黑体" w:hAnsi="黑体" w:eastAsia="黑体"/>
              </w:rPr>
              <w:t>公开内容</w:t>
            </w:r>
          </w:p>
        </w:tc>
        <w:tc>
          <w:tcPr>
            <w:tcW w:w="2977" w:type="dxa"/>
            <w:vMerge w:val="restart"/>
            <w:shd w:val="pct10" w:color="auto" w:fill="auto"/>
            <w:vAlign w:val="center"/>
          </w:tcPr>
          <w:p>
            <w:pPr>
              <w:jc w:val="center"/>
              <w:rPr>
                <w:rFonts w:ascii="黑体" w:hAnsi="黑体" w:eastAsia="黑体"/>
              </w:rPr>
            </w:pPr>
            <w:r>
              <w:rPr>
                <w:rFonts w:ascii="黑体" w:hAnsi="黑体" w:eastAsia="黑体"/>
              </w:rPr>
              <w:t>公开</w:t>
            </w:r>
            <w:r>
              <w:rPr>
                <w:rFonts w:hint="eastAsia" w:ascii="黑体" w:hAnsi="黑体" w:eastAsia="黑体"/>
              </w:rPr>
              <w:t>依据</w:t>
            </w:r>
          </w:p>
        </w:tc>
        <w:tc>
          <w:tcPr>
            <w:tcW w:w="1417" w:type="dxa"/>
            <w:vMerge w:val="restart"/>
            <w:shd w:val="pct10" w:color="auto" w:fill="auto"/>
            <w:vAlign w:val="center"/>
          </w:tcPr>
          <w:p>
            <w:pPr>
              <w:jc w:val="center"/>
              <w:rPr>
                <w:rFonts w:ascii="黑体" w:hAnsi="黑体" w:eastAsia="黑体"/>
              </w:rPr>
            </w:pPr>
            <w:r>
              <w:rPr>
                <w:rFonts w:hint="eastAsia" w:ascii="黑体" w:hAnsi="黑体" w:eastAsia="黑体"/>
              </w:rPr>
              <w:t>公开</w:t>
            </w:r>
            <w:r>
              <w:rPr>
                <w:rFonts w:ascii="黑体" w:hAnsi="黑体" w:eastAsia="黑体"/>
              </w:rPr>
              <w:t>时限</w:t>
            </w:r>
          </w:p>
        </w:tc>
        <w:tc>
          <w:tcPr>
            <w:tcW w:w="1134" w:type="dxa"/>
            <w:vMerge w:val="restart"/>
            <w:shd w:val="pct10" w:color="auto" w:fill="auto"/>
            <w:vAlign w:val="center"/>
          </w:tcPr>
          <w:p>
            <w:pPr>
              <w:jc w:val="center"/>
              <w:rPr>
                <w:rFonts w:ascii="黑体" w:hAnsi="黑体" w:eastAsia="黑体"/>
              </w:rPr>
            </w:pPr>
            <w:r>
              <w:rPr>
                <w:rFonts w:ascii="黑体" w:hAnsi="黑体" w:eastAsia="黑体"/>
              </w:rPr>
              <w:t>公开</w:t>
            </w:r>
            <w:r>
              <w:rPr>
                <w:rFonts w:hint="eastAsia" w:ascii="黑体" w:hAnsi="黑体" w:eastAsia="黑体"/>
              </w:rPr>
              <w:t>主体</w:t>
            </w:r>
          </w:p>
        </w:tc>
        <w:tc>
          <w:tcPr>
            <w:tcW w:w="1276" w:type="dxa"/>
            <w:vMerge w:val="restart"/>
            <w:shd w:val="pct10" w:color="auto" w:fill="auto"/>
            <w:vAlign w:val="center"/>
          </w:tcPr>
          <w:p>
            <w:pPr>
              <w:jc w:val="center"/>
              <w:rPr>
                <w:rFonts w:ascii="黑体" w:hAnsi="黑体" w:eastAsia="黑体"/>
              </w:rPr>
            </w:pPr>
            <w:r>
              <w:rPr>
                <w:rFonts w:ascii="黑体" w:hAnsi="黑体" w:eastAsia="黑体"/>
              </w:rPr>
              <w:t>公开方式</w:t>
            </w:r>
          </w:p>
        </w:tc>
        <w:tc>
          <w:tcPr>
            <w:tcW w:w="1418" w:type="dxa"/>
            <w:vMerge w:val="restart"/>
            <w:shd w:val="pct10" w:color="auto" w:fill="auto"/>
            <w:vAlign w:val="center"/>
          </w:tcPr>
          <w:p>
            <w:pPr>
              <w:jc w:val="center"/>
              <w:rPr>
                <w:rFonts w:ascii="黑体" w:hAnsi="黑体" w:eastAsia="黑体"/>
              </w:rPr>
            </w:pPr>
            <w:r>
              <w:rPr>
                <w:rFonts w:hint="eastAsia" w:ascii="黑体" w:hAnsi="黑体" w:eastAsia="黑体"/>
              </w:rPr>
              <w:t>公开渠道</w:t>
            </w:r>
          </w:p>
        </w:tc>
        <w:tc>
          <w:tcPr>
            <w:tcW w:w="1134" w:type="dxa"/>
            <w:vMerge w:val="restart"/>
            <w:shd w:val="pct10" w:color="auto" w:fill="auto"/>
            <w:vAlign w:val="center"/>
          </w:tcPr>
          <w:p>
            <w:pPr>
              <w:jc w:val="center"/>
              <w:rPr>
                <w:rFonts w:ascii="黑体" w:hAnsi="黑体" w:eastAsia="黑体"/>
              </w:rPr>
            </w:pPr>
            <w:r>
              <w:rPr>
                <w:rFonts w:ascii="黑体" w:hAnsi="黑体" w:eastAsia="黑体"/>
              </w:rPr>
              <w:t>公开对象</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29" w:type="dxa"/>
            <w:shd w:val="pct10" w:color="auto" w:fill="auto"/>
            <w:vAlign w:val="center"/>
          </w:tcPr>
          <w:p>
            <w:pPr>
              <w:jc w:val="center"/>
              <w:rPr>
                <w:b/>
              </w:rPr>
            </w:pPr>
            <w:r>
              <w:rPr>
                <w:b/>
              </w:rPr>
              <w:t>一级目录</w:t>
            </w:r>
          </w:p>
        </w:tc>
        <w:tc>
          <w:tcPr>
            <w:tcW w:w="1701" w:type="dxa"/>
            <w:shd w:val="pct10" w:color="auto" w:fill="auto"/>
            <w:vAlign w:val="center"/>
          </w:tcPr>
          <w:p>
            <w:pPr>
              <w:jc w:val="center"/>
              <w:rPr>
                <w:b/>
              </w:rPr>
            </w:pPr>
            <w:r>
              <w:rPr>
                <w:b/>
              </w:rPr>
              <w:t>二级目录</w:t>
            </w:r>
          </w:p>
        </w:tc>
        <w:tc>
          <w:tcPr>
            <w:tcW w:w="2410" w:type="dxa"/>
            <w:vMerge w:val="continue"/>
          </w:tcPr>
          <w:p>
            <w:pPr>
              <w:jc w:val="left"/>
            </w:pPr>
          </w:p>
        </w:tc>
        <w:tc>
          <w:tcPr>
            <w:tcW w:w="2977" w:type="dxa"/>
            <w:vMerge w:val="continue"/>
            <w:vAlign w:val="center"/>
          </w:tcPr>
          <w:p>
            <w:pPr>
              <w:jc w:val="center"/>
            </w:pPr>
          </w:p>
        </w:tc>
        <w:tc>
          <w:tcPr>
            <w:tcW w:w="1417" w:type="dxa"/>
            <w:vMerge w:val="continue"/>
            <w:vAlign w:val="center"/>
          </w:tcPr>
          <w:p/>
        </w:tc>
        <w:tc>
          <w:tcPr>
            <w:tcW w:w="1134" w:type="dxa"/>
            <w:vMerge w:val="continue"/>
          </w:tcPr>
          <w:p>
            <w:pPr>
              <w:jc w:val="center"/>
            </w:pPr>
          </w:p>
        </w:tc>
        <w:tc>
          <w:tcPr>
            <w:tcW w:w="1276" w:type="dxa"/>
            <w:vMerge w:val="continue"/>
            <w:vAlign w:val="center"/>
          </w:tcPr>
          <w:p>
            <w:pPr>
              <w:jc w:val="center"/>
            </w:pPr>
          </w:p>
        </w:tc>
        <w:tc>
          <w:tcPr>
            <w:tcW w:w="1418" w:type="dxa"/>
            <w:vMerge w:val="continue"/>
            <w:vAlign w:val="center"/>
          </w:tcPr>
          <w:p>
            <w:pPr>
              <w:jc w:val="center"/>
            </w:pP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9" w:type="dxa"/>
            <w:vMerge w:val="restart"/>
            <w:vAlign w:val="center"/>
          </w:tcPr>
          <w:p>
            <w:pPr>
              <w:widowControl/>
              <w:jc w:val="center"/>
              <w:rPr>
                <w:rFonts w:cs="宋体" w:asciiTheme="minorEastAsia" w:hAnsiTheme="minorEastAsia"/>
                <w:kern w:val="0"/>
                <w:szCs w:val="21"/>
              </w:rPr>
            </w:pPr>
            <w:r>
              <w:rPr>
                <w:rFonts w:cs="宋体" w:asciiTheme="minorEastAsia" w:hAnsiTheme="minorEastAsia"/>
                <w:kern w:val="0"/>
                <w:szCs w:val="21"/>
              </w:rPr>
              <w:t>公共服务</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color w:val="000000"/>
                <w:szCs w:val="21"/>
              </w:rPr>
            </w:pPr>
            <w:r>
              <w:rPr>
                <w:rFonts w:hint="eastAsia" w:asciiTheme="minorEastAsia" w:hAnsiTheme="minorEastAsia"/>
                <w:color w:val="000000"/>
                <w:szCs w:val="21"/>
              </w:rPr>
              <w:t>养老服务等级评定</w:t>
            </w:r>
          </w:p>
        </w:tc>
        <w:tc>
          <w:tcPr>
            <w:tcW w:w="2410" w:type="dxa"/>
            <w:tcBorders>
              <w:top w:val="single" w:color="auto" w:sz="4" w:space="0"/>
              <w:left w:val="nil"/>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适用范围、审批依据、受理机构、申请材料、办理流程、办理时限、监督投诉渠道等</w:t>
            </w:r>
          </w:p>
        </w:tc>
        <w:tc>
          <w:tcPr>
            <w:tcW w:w="2977" w:type="dxa"/>
            <w:tcBorders>
              <w:top w:val="single" w:color="auto" w:sz="4" w:space="0"/>
              <w:left w:val="nil"/>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 xml:space="preserve">《国务院办公厅关于推进养老服务发展的意见》 《中华人民共和国政府信息公开条例》 </w:t>
            </w:r>
          </w:p>
        </w:tc>
        <w:tc>
          <w:tcPr>
            <w:tcW w:w="1417" w:type="dxa"/>
            <w:vMerge w:val="restart"/>
            <w:tcBorders>
              <w:top w:val="single" w:color="auto" w:sz="4" w:space="0"/>
              <w:left w:val="nil"/>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信息形成或变更之日起7个工作日内</w:t>
            </w:r>
          </w:p>
        </w:tc>
        <w:tc>
          <w:tcPr>
            <w:tcW w:w="1134" w:type="dxa"/>
            <w:vMerge w:val="restart"/>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区民政局</w:t>
            </w:r>
          </w:p>
        </w:tc>
        <w:tc>
          <w:tcPr>
            <w:tcW w:w="1276" w:type="dxa"/>
            <w:vMerge w:val="restart"/>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主动公开</w:t>
            </w:r>
          </w:p>
        </w:tc>
        <w:tc>
          <w:tcPr>
            <w:tcW w:w="1418" w:type="dxa"/>
            <w:vMerge w:val="restart"/>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政府网站</w:t>
            </w:r>
          </w:p>
        </w:tc>
        <w:tc>
          <w:tcPr>
            <w:tcW w:w="1134" w:type="dxa"/>
            <w:vMerge w:val="restart"/>
            <w:tcBorders>
              <w:top w:val="single" w:color="auto" w:sz="4" w:space="0"/>
              <w:left w:val="nil"/>
              <w:right w:val="single" w:color="auto" w:sz="4" w:space="0"/>
            </w:tcBorders>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9" w:type="dxa"/>
            <w:vMerge w:val="continue"/>
            <w:vAlign w:val="center"/>
          </w:tcPr>
          <w:p>
            <w:pPr>
              <w:widowControl/>
              <w:jc w:val="center"/>
              <w:rPr>
                <w:rFonts w:cs="宋体" w:asciiTheme="minorEastAsia" w:hAnsi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color w:val="000000"/>
                <w:szCs w:val="21"/>
              </w:rPr>
            </w:pPr>
            <w:r>
              <w:rPr>
                <w:rFonts w:hint="eastAsia" w:asciiTheme="minorEastAsia" w:hAnsiTheme="minorEastAsia"/>
                <w:color w:val="000000"/>
                <w:szCs w:val="21"/>
              </w:rPr>
              <w:t>养老服务政策咨询</w:t>
            </w:r>
          </w:p>
        </w:tc>
        <w:tc>
          <w:tcPr>
            <w:tcW w:w="2410" w:type="dxa"/>
            <w:tcBorders>
              <w:top w:val="single" w:color="auto" w:sz="4" w:space="0"/>
              <w:left w:val="nil"/>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宣传贯彻国家、省市区相关法规、政策，为老年人及其家人提供养老服务方面的政策解答，指导相关养老机构开展工作等</w:t>
            </w:r>
          </w:p>
        </w:tc>
        <w:tc>
          <w:tcPr>
            <w:tcW w:w="2977" w:type="dxa"/>
            <w:tcBorders>
              <w:top w:val="single" w:color="auto" w:sz="4" w:space="0"/>
              <w:left w:val="nil"/>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 xml:space="preserve">《江苏省养老服务条例》  《中华人民共和国政府信息公开条例》 </w:t>
            </w:r>
          </w:p>
        </w:tc>
        <w:tc>
          <w:tcPr>
            <w:tcW w:w="1417"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c>
          <w:tcPr>
            <w:tcW w:w="1134"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c>
          <w:tcPr>
            <w:tcW w:w="1276"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c>
          <w:tcPr>
            <w:tcW w:w="1418"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c>
          <w:tcPr>
            <w:tcW w:w="1134"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9" w:type="dxa"/>
            <w:vMerge w:val="continue"/>
            <w:vAlign w:val="center"/>
          </w:tcPr>
          <w:p>
            <w:pPr>
              <w:widowControl/>
              <w:jc w:val="center"/>
              <w:rPr>
                <w:rFonts w:cs="宋体" w:asciiTheme="minorEastAsia" w:hAnsiTheme="minorEastAsia"/>
                <w:kern w:val="0"/>
                <w:szCs w:val="21"/>
              </w:rPr>
            </w:pPr>
          </w:p>
        </w:tc>
        <w:tc>
          <w:tcPr>
            <w:tcW w:w="170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养老服务机构信息查询</w:t>
            </w:r>
          </w:p>
        </w:tc>
        <w:tc>
          <w:tcPr>
            <w:tcW w:w="241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名称、地址、法定代表人/负责人、相关资质、业务范围、联系方式、收费标准等</w:t>
            </w:r>
          </w:p>
        </w:tc>
        <w:tc>
          <w:tcPr>
            <w:tcW w:w="29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《江苏省养老服务条例》《中华人民共和国政府信息公开条例》</w:t>
            </w:r>
          </w:p>
        </w:tc>
        <w:tc>
          <w:tcPr>
            <w:tcW w:w="1417"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c>
          <w:tcPr>
            <w:tcW w:w="1134"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c>
          <w:tcPr>
            <w:tcW w:w="1276"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c>
          <w:tcPr>
            <w:tcW w:w="1418"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c>
          <w:tcPr>
            <w:tcW w:w="1134"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9" w:type="dxa"/>
            <w:vMerge w:val="continue"/>
            <w:vAlign w:val="center"/>
          </w:tcPr>
          <w:p>
            <w:pPr>
              <w:widowControl/>
              <w:jc w:val="center"/>
              <w:rPr>
                <w:rFonts w:cs="宋体" w:asciiTheme="minorEastAsia" w:hAnsiTheme="minorEastAsia"/>
                <w:kern w:val="0"/>
                <w:szCs w:val="21"/>
              </w:rPr>
            </w:pPr>
          </w:p>
        </w:tc>
        <w:tc>
          <w:tcPr>
            <w:tcW w:w="170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尊老金政策咨询</w:t>
            </w:r>
          </w:p>
        </w:tc>
        <w:tc>
          <w:tcPr>
            <w:tcW w:w="241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适用范围、受理机构、办理流程、政策依据、办理时限、监管投诉渠道等</w:t>
            </w:r>
          </w:p>
        </w:tc>
        <w:tc>
          <w:tcPr>
            <w:tcW w:w="29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《中华人民共和国老年人权益保障法》</w:t>
            </w:r>
          </w:p>
        </w:tc>
        <w:tc>
          <w:tcPr>
            <w:tcW w:w="1417"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c>
          <w:tcPr>
            <w:tcW w:w="1134"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c>
          <w:tcPr>
            <w:tcW w:w="1276"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c>
          <w:tcPr>
            <w:tcW w:w="1418"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c>
          <w:tcPr>
            <w:tcW w:w="1134"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9" w:type="dxa"/>
            <w:vMerge w:val="continue"/>
            <w:vAlign w:val="center"/>
          </w:tcPr>
          <w:p>
            <w:pPr>
              <w:widowControl/>
              <w:jc w:val="center"/>
              <w:rPr>
                <w:rFonts w:cs="宋体" w:asciiTheme="minorEastAsia" w:hAnsiTheme="minorEastAsia"/>
                <w:kern w:val="0"/>
                <w:szCs w:val="21"/>
              </w:rPr>
            </w:pPr>
          </w:p>
        </w:tc>
        <w:tc>
          <w:tcPr>
            <w:tcW w:w="170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养老服务扶持政策措施清单发布</w:t>
            </w:r>
          </w:p>
        </w:tc>
        <w:tc>
          <w:tcPr>
            <w:tcW w:w="241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扶持政策内容、扶持对象、主管部门、养老机构投资要求、办理流程等</w:t>
            </w:r>
          </w:p>
        </w:tc>
        <w:tc>
          <w:tcPr>
            <w:tcW w:w="29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《国务院办公厅关于推进养老服务发展的意见》 《民政部办公厅关于印发社会救助和养老服务领域基层政务公开标准指引的通知》 《中华人民共和国政府信息公开条例》</w:t>
            </w:r>
          </w:p>
        </w:tc>
        <w:tc>
          <w:tcPr>
            <w:tcW w:w="1417"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c>
          <w:tcPr>
            <w:tcW w:w="1134"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c>
          <w:tcPr>
            <w:tcW w:w="1276"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c>
          <w:tcPr>
            <w:tcW w:w="1418"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c>
          <w:tcPr>
            <w:tcW w:w="1134"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29" w:type="dxa"/>
            <w:vMerge w:val="continue"/>
            <w:vAlign w:val="center"/>
          </w:tcPr>
          <w:p>
            <w:pPr>
              <w:widowControl/>
              <w:jc w:val="center"/>
              <w:rPr>
                <w:rFonts w:cs="宋体" w:asciiTheme="minorEastAsia" w:hAnsiTheme="minorEastAsia"/>
                <w:kern w:val="0"/>
                <w:szCs w:val="21"/>
              </w:rPr>
            </w:pPr>
          </w:p>
        </w:tc>
        <w:tc>
          <w:tcPr>
            <w:tcW w:w="170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居家社区养老服务设施查询</w:t>
            </w:r>
          </w:p>
        </w:tc>
        <w:tc>
          <w:tcPr>
            <w:tcW w:w="241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名称、地址、法人/负责人、相关资质、业务范围、联系方式、收费标准</w:t>
            </w:r>
          </w:p>
        </w:tc>
        <w:tc>
          <w:tcPr>
            <w:tcW w:w="29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 xml:space="preserve">《江苏省养老服务条例》  《中华人民共和国政府信息公开条例》 </w:t>
            </w:r>
          </w:p>
        </w:tc>
        <w:tc>
          <w:tcPr>
            <w:tcW w:w="1417"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c>
          <w:tcPr>
            <w:tcW w:w="1134" w:type="dxa"/>
            <w:vMerge w:val="continue"/>
            <w:tcBorders>
              <w:left w:val="nil"/>
              <w:right w:val="single" w:color="auto" w:sz="4" w:space="0"/>
            </w:tcBorders>
            <w:shd w:val="clear" w:color="auto" w:fill="auto"/>
            <w:vAlign w:val="center"/>
          </w:tcPr>
          <w:p>
            <w:pPr>
              <w:jc w:val="center"/>
              <w:rPr>
                <w:rFonts w:asciiTheme="minorEastAsia" w:hAnsiTheme="minorEastAsia"/>
                <w:color w:val="000000"/>
                <w:szCs w:val="21"/>
              </w:rPr>
            </w:pPr>
          </w:p>
        </w:tc>
        <w:tc>
          <w:tcPr>
            <w:tcW w:w="1276" w:type="dxa"/>
            <w:vMerge w:val="continue"/>
            <w:tcBorders>
              <w:left w:val="nil"/>
              <w:right w:val="single" w:color="auto" w:sz="4" w:space="0"/>
            </w:tcBorders>
            <w:shd w:val="clear" w:color="auto" w:fill="auto"/>
            <w:vAlign w:val="center"/>
          </w:tcPr>
          <w:p>
            <w:pPr>
              <w:jc w:val="center"/>
              <w:rPr>
                <w:rFonts w:asciiTheme="minorEastAsia" w:hAnsiTheme="minorEastAsia"/>
                <w:color w:val="000000"/>
                <w:szCs w:val="21"/>
              </w:rPr>
            </w:pPr>
          </w:p>
        </w:tc>
        <w:tc>
          <w:tcPr>
            <w:tcW w:w="1418" w:type="dxa"/>
            <w:vMerge w:val="continue"/>
            <w:tcBorders>
              <w:left w:val="nil"/>
              <w:right w:val="single" w:color="auto" w:sz="4" w:space="0"/>
            </w:tcBorders>
            <w:shd w:val="clear" w:color="auto" w:fill="auto"/>
            <w:vAlign w:val="center"/>
          </w:tcPr>
          <w:p>
            <w:pPr>
              <w:jc w:val="center"/>
              <w:rPr>
                <w:rFonts w:asciiTheme="minorEastAsia" w:hAnsiTheme="minorEastAsia"/>
                <w:color w:val="000000"/>
                <w:szCs w:val="21"/>
              </w:rPr>
            </w:pPr>
          </w:p>
        </w:tc>
        <w:tc>
          <w:tcPr>
            <w:tcW w:w="1134" w:type="dxa"/>
            <w:vMerge w:val="continue"/>
            <w:tcBorders>
              <w:left w:val="nil"/>
              <w:right w:val="single" w:color="auto" w:sz="4" w:space="0"/>
            </w:tcBorders>
            <w:shd w:val="clear" w:color="auto" w:fill="auto"/>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9" w:type="dxa"/>
            <w:vMerge w:val="restart"/>
            <w:vAlign w:val="center"/>
          </w:tcPr>
          <w:p>
            <w:pPr>
              <w:widowControl/>
              <w:jc w:val="center"/>
              <w:rPr>
                <w:rFonts w:cs="宋体" w:asciiTheme="minorEastAsia" w:hAnsiTheme="minorEastAsia"/>
                <w:kern w:val="0"/>
                <w:szCs w:val="21"/>
              </w:rPr>
            </w:pPr>
            <w:r>
              <w:rPr>
                <w:rFonts w:cs="宋体" w:asciiTheme="minorEastAsia" w:hAnsiTheme="minorEastAsia"/>
                <w:kern w:val="0"/>
                <w:szCs w:val="21"/>
              </w:rPr>
              <w:t>行政给付</w:t>
            </w:r>
          </w:p>
        </w:tc>
        <w:tc>
          <w:tcPr>
            <w:tcW w:w="170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对养老机构建设、运营、护理员补贴资金的发放</w:t>
            </w:r>
          </w:p>
        </w:tc>
        <w:tc>
          <w:tcPr>
            <w:tcW w:w="241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适用范围、审批依据、受理机构、申请条件、申请材料、办理流程、办理时限、给付金额及去向、监督投诉渠道等</w:t>
            </w:r>
          </w:p>
        </w:tc>
        <w:tc>
          <w:tcPr>
            <w:tcW w:w="29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 xml:space="preserve">《江苏省养老服务条例》  《中华人民共和国政府信息公开条例》 </w:t>
            </w:r>
          </w:p>
        </w:tc>
        <w:tc>
          <w:tcPr>
            <w:tcW w:w="1417" w:type="dxa"/>
            <w:vMerge w:val="restart"/>
            <w:tcBorders>
              <w:left w:val="nil"/>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信息形成或变更之日起7个工作日内</w:t>
            </w:r>
          </w:p>
        </w:tc>
        <w:tc>
          <w:tcPr>
            <w:tcW w:w="1134" w:type="dxa"/>
            <w:vMerge w:val="restart"/>
            <w:tcBorders>
              <w:left w:val="nil"/>
              <w:right w:val="single" w:color="auto" w:sz="4" w:space="0"/>
            </w:tcBorders>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区民政局</w:t>
            </w:r>
          </w:p>
        </w:tc>
        <w:tc>
          <w:tcPr>
            <w:tcW w:w="1276" w:type="dxa"/>
            <w:vMerge w:val="restart"/>
            <w:tcBorders>
              <w:left w:val="nil"/>
              <w:right w:val="single" w:color="auto" w:sz="4" w:space="0"/>
            </w:tcBorders>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主动公开</w:t>
            </w:r>
          </w:p>
        </w:tc>
        <w:tc>
          <w:tcPr>
            <w:tcW w:w="1418" w:type="dxa"/>
            <w:vMerge w:val="restart"/>
            <w:tcBorders>
              <w:left w:val="nil"/>
              <w:right w:val="single" w:color="auto" w:sz="4" w:space="0"/>
            </w:tcBorders>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政府网站</w:t>
            </w:r>
          </w:p>
        </w:tc>
        <w:tc>
          <w:tcPr>
            <w:tcW w:w="1134" w:type="dxa"/>
            <w:vMerge w:val="restart"/>
            <w:tcBorders>
              <w:left w:val="nil"/>
              <w:right w:val="single" w:color="auto" w:sz="4" w:space="0"/>
            </w:tcBorders>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7" w:hRule="atLeast"/>
        </w:trPr>
        <w:tc>
          <w:tcPr>
            <w:tcW w:w="1129" w:type="dxa"/>
            <w:vMerge w:val="continue"/>
            <w:vAlign w:val="center"/>
          </w:tcPr>
          <w:p>
            <w:pPr>
              <w:widowControl/>
              <w:jc w:val="center"/>
              <w:rPr>
                <w:rFonts w:cs="宋体" w:asciiTheme="minorEastAsia" w:hAnsiTheme="minorEastAsia"/>
                <w:kern w:val="0"/>
                <w:szCs w:val="21"/>
              </w:rPr>
            </w:pPr>
          </w:p>
        </w:tc>
        <w:tc>
          <w:tcPr>
            <w:tcW w:w="170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老年人福利补贴</w:t>
            </w:r>
          </w:p>
        </w:tc>
        <w:tc>
          <w:tcPr>
            <w:tcW w:w="241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80周岁以上老年人尊老金的发放范围、标准、办理流程、拨款金额、监督投诉渠道等</w:t>
            </w:r>
          </w:p>
        </w:tc>
        <w:tc>
          <w:tcPr>
            <w:tcW w:w="29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《中华人民共和国老年人权益保障法》、《江苏省老年人权益保护条例》、《江苏省民政厅 财政厅关于向80周岁以上老年人发放尊老金的通知》  《中华人民共和国政府信息公开条例》 《建邺区全面推进基层政务公开标准化规范化工作暨创建全省政务公开创新示范区实施方案》、《中华人民共和国老年人权益保障法》《江苏省养老服务条例》《南京市养老服务条例》《关于进一步规范尊老金发放管理工作的通知（宁民养老》[2020]63号</w:t>
            </w:r>
          </w:p>
        </w:tc>
        <w:tc>
          <w:tcPr>
            <w:tcW w:w="1417"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c>
          <w:tcPr>
            <w:tcW w:w="1134"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c>
          <w:tcPr>
            <w:tcW w:w="1276"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c>
          <w:tcPr>
            <w:tcW w:w="1418" w:type="dxa"/>
            <w:vMerge w:val="continue"/>
            <w:tcBorders>
              <w:left w:val="nil"/>
              <w:bottom w:val="single" w:color="auto" w:sz="4" w:space="0"/>
              <w:right w:val="single" w:color="auto" w:sz="4" w:space="0"/>
            </w:tcBorders>
            <w:shd w:val="clear" w:color="auto" w:fill="auto"/>
            <w:vAlign w:val="center"/>
          </w:tcPr>
          <w:p>
            <w:pPr>
              <w:rPr>
                <w:rFonts w:asciiTheme="minorEastAsia" w:hAnsiTheme="minorEastAsia"/>
                <w:color w:val="000000"/>
                <w:szCs w:val="21"/>
              </w:rPr>
            </w:pPr>
          </w:p>
        </w:tc>
        <w:tc>
          <w:tcPr>
            <w:tcW w:w="1134"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129" w:type="dxa"/>
            <w:vMerge w:val="continue"/>
            <w:vAlign w:val="center"/>
          </w:tcPr>
          <w:p>
            <w:pPr>
              <w:widowControl/>
              <w:jc w:val="center"/>
              <w:rPr>
                <w:rFonts w:cs="宋体" w:asciiTheme="minorEastAsia" w:hAnsiTheme="minorEastAsia"/>
                <w:kern w:val="0"/>
                <w:szCs w:val="21"/>
              </w:rPr>
            </w:pPr>
          </w:p>
        </w:tc>
        <w:tc>
          <w:tcPr>
            <w:tcW w:w="170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养老机构、个人表彰和奖励</w:t>
            </w:r>
          </w:p>
        </w:tc>
        <w:tc>
          <w:tcPr>
            <w:tcW w:w="241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设定依据、办理范围、申请材料、审批流程、办理时限、结果送达、监督投诉渠道等</w:t>
            </w:r>
          </w:p>
        </w:tc>
        <w:tc>
          <w:tcPr>
            <w:tcW w:w="29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《江苏省养老服务条例》  《中华人民共和国政府信息公开条例》</w:t>
            </w:r>
          </w:p>
        </w:tc>
        <w:tc>
          <w:tcPr>
            <w:tcW w:w="1417" w:type="dxa"/>
            <w:vMerge w:val="continue"/>
            <w:tcBorders>
              <w:left w:val="nil"/>
              <w:right w:val="single" w:color="auto" w:sz="4" w:space="0"/>
            </w:tcBorders>
            <w:shd w:val="clear" w:color="auto" w:fill="auto"/>
            <w:vAlign w:val="center"/>
          </w:tcPr>
          <w:p>
            <w:pPr>
              <w:rPr>
                <w:rFonts w:asciiTheme="minorEastAsia" w:hAnsiTheme="minorEastAsia"/>
                <w:color w:val="000000"/>
                <w:szCs w:val="21"/>
              </w:rPr>
            </w:pPr>
          </w:p>
        </w:tc>
        <w:tc>
          <w:tcPr>
            <w:tcW w:w="1134" w:type="dxa"/>
            <w:vMerge w:val="continue"/>
            <w:tcBorders>
              <w:left w:val="nil"/>
              <w:right w:val="single" w:color="auto" w:sz="4" w:space="0"/>
            </w:tcBorders>
            <w:shd w:val="clear" w:color="auto" w:fill="auto"/>
            <w:vAlign w:val="center"/>
          </w:tcPr>
          <w:p>
            <w:pPr>
              <w:jc w:val="center"/>
              <w:rPr>
                <w:rFonts w:asciiTheme="minorEastAsia" w:hAnsiTheme="minorEastAsia"/>
                <w:color w:val="000000"/>
                <w:szCs w:val="21"/>
              </w:rPr>
            </w:pPr>
          </w:p>
        </w:tc>
        <w:tc>
          <w:tcPr>
            <w:tcW w:w="1276" w:type="dxa"/>
            <w:vMerge w:val="continue"/>
            <w:tcBorders>
              <w:left w:val="nil"/>
              <w:right w:val="single" w:color="auto" w:sz="4" w:space="0"/>
            </w:tcBorders>
            <w:shd w:val="clear" w:color="auto" w:fill="auto"/>
            <w:vAlign w:val="center"/>
          </w:tcPr>
          <w:p>
            <w:pPr>
              <w:jc w:val="center"/>
              <w:rPr>
                <w:rFonts w:asciiTheme="minorEastAsia" w:hAnsiTheme="minorEastAsia"/>
                <w:color w:val="000000"/>
                <w:szCs w:val="21"/>
              </w:rPr>
            </w:pPr>
          </w:p>
        </w:tc>
        <w:tc>
          <w:tcPr>
            <w:tcW w:w="1418"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政府网站</w:t>
            </w:r>
          </w:p>
        </w:tc>
        <w:tc>
          <w:tcPr>
            <w:tcW w:w="1134" w:type="dxa"/>
            <w:vMerge w:val="continue"/>
            <w:tcBorders>
              <w:left w:val="nil"/>
              <w:right w:val="single" w:color="auto" w:sz="4" w:space="0"/>
            </w:tcBorders>
            <w:shd w:val="clear" w:color="auto" w:fill="auto"/>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9" w:type="dxa"/>
            <w:vMerge w:val="restart"/>
            <w:vAlign w:val="center"/>
          </w:tcPr>
          <w:p>
            <w:pPr>
              <w:widowControl/>
              <w:jc w:val="both"/>
              <w:rPr>
                <w:rFonts w:cs="宋体" w:asciiTheme="minorEastAsia" w:hAnsiTheme="minorEastAsia"/>
                <w:kern w:val="0"/>
                <w:szCs w:val="21"/>
              </w:rPr>
            </w:pPr>
            <w:r>
              <w:rPr>
                <w:rFonts w:cs="宋体" w:asciiTheme="minorEastAsia" w:hAnsiTheme="minorEastAsia"/>
                <w:kern w:val="0"/>
                <w:szCs w:val="21"/>
              </w:rPr>
              <w:t>行政处罚</w:t>
            </w:r>
          </w:p>
        </w:tc>
        <w:tc>
          <w:tcPr>
            <w:tcW w:w="170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对养老机构未按规范和标准要求管理和服务的处罚</w:t>
            </w:r>
          </w:p>
        </w:tc>
        <w:tc>
          <w:tcPr>
            <w:tcW w:w="241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实施依据、处罚标准、办理流程、办理时限、结果送达、监督投诉渠道等</w:t>
            </w:r>
          </w:p>
        </w:tc>
        <w:tc>
          <w:tcPr>
            <w:tcW w:w="29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 xml:space="preserve">《养老机构管理办法》 《中华人民共和国政府信息公开条例》 </w:t>
            </w:r>
          </w:p>
        </w:tc>
        <w:tc>
          <w:tcPr>
            <w:tcW w:w="1417" w:type="dxa"/>
            <w:vMerge w:val="restart"/>
            <w:tcBorders>
              <w:left w:val="nil"/>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信息形成或变更之日起7个工作日内</w:t>
            </w:r>
          </w:p>
        </w:tc>
        <w:tc>
          <w:tcPr>
            <w:tcW w:w="1134" w:type="dxa"/>
            <w:vMerge w:val="restart"/>
            <w:tcBorders>
              <w:left w:val="nil"/>
              <w:right w:val="single" w:color="auto" w:sz="4" w:space="0"/>
            </w:tcBorders>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区民政局</w:t>
            </w:r>
          </w:p>
        </w:tc>
        <w:tc>
          <w:tcPr>
            <w:tcW w:w="1276" w:type="dxa"/>
            <w:vMerge w:val="restart"/>
            <w:tcBorders>
              <w:left w:val="nil"/>
              <w:right w:val="single" w:color="auto" w:sz="4" w:space="0"/>
            </w:tcBorders>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主动公开</w:t>
            </w:r>
          </w:p>
        </w:tc>
        <w:tc>
          <w:tcPr>
            <w:tcW w:w="1418" w:type="dxa"/>
            <w:vMerge w:val="restart"/>
            <w:tcBorders>
              <w:top w:val="nil"/>
              <w:left w:val="nil"/>
              <w:right w:val="single" w:color="auto" w:sz="4" w:space="0"/>
            </w:tcBorders>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政府网站</w:t>
            </w:r>
          </w:p>
        </w:tc>
        <w:tc>
          <w:tcPr>
            <w:tcW w:w="1134" w:type="dxa"/>
            <w:vMerge w:val="restart"/>
            <w:tcBorders>
              <w:left w:val="nil"/>
              <w:right w:val="single" w:color="auto" w:sz="4" w:space="0"/>
            </w:tcBorders>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9" w:type="dxa"/>
            <w:vMerge w:val="continue"/>
            <w:vAlign w:val="center"/>
          </w:tcPr>
          <w:p>
            <w:pPr>
              <w:widowControl/>
              <w:jc w:val="center"/>
              <w:rPr>
                <w:rFonts w:cs="宋体" w:asciiTheme="minorEastAsia" w:hAnsiTheme="minorEastAsia"/>
                <w:kern w:val="0"/>
                <w:szCs w:val="21"/>
              </w:rPr>
            </w:pPr>
          </w:p>
        </w:tc>
        <w:tc>
          <w:tcPr>
            <w:tcW w:w="170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对养老机构未经批准暂停、终止养老服务，或者暂停、终止养老服务未妥善安置收住的老年人的处罚</w:t>
            </w:r>
          </w:p>
        </w:tc>
        <w:tc>
          <w:tcPr>
            <w:tcW w:w="241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实施依据、处罚标准、办理流程、办理时限、结果送达、监督投诉渠道等</w:t>
            </w:r>
          </w:p>
        </w:tc>
        <w:tc>
          <w:tcPr>
            <w:tcW w:w="29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 xml:space="preserve">《江苏省养老服务条例》《中华人民共和国政府信息公开条例》 </w:t>
            </w:r>
          </w:p>
        </w:tc>
        <w:tc>
          <w:tcPr>
            <w:tcW w:w="1417" w:type="dxa"/>
            <w:vMerge w:val="continue"/>
            <w:tcBorders>
              <w:left w:val="nil"/>
              <w:right w:val="single" w:color="auto" w:sz="4" w:space="0"/>
            </w:tcBorders>
            <w:shd w:val="clear" w:color="auto" w:fill="auto"/>
            <w:vAlign w:val="center"/>
          </w:tcPr>
          <w:p>
            <w:pPr>
              <w:rPr>
                <w:color w:val="000000"/>
                <w:sz w:val="18"/>
                <w:szCs w:val="18"/>
              </w:rPr>
            </w:pPr>
          </w:p>
        </w:tc>
        <w:tc>
          <w:tcPr>
            <w:tcW w:w="1134" w:type="dxa"/>
            <w:vMerge w:val="continue"/>
            <w:tcBorders>
              <w:left w:val="nil"/>
              <w:right w:val="single" w:color="auto" w:sz="4" w:space="0"/>
            </w:tcBorders>
            <w:shd w:val="clear" w:color="auto" w:fill="auto"/>
            <w:vAlign w:val="center"/>
          </w:tcPr>
          <w:p>
            <w:pPr>
              <w:rPr>
                <w:color w:val="000000"/>
                <w:sz w:val="18"/>
                <w:szCs w:val="18"/>
              </w:rPr>
            </w:pPr>
          </w:p>
        </w:tc>
        <w:tc>
          <w:tcPr>
            <w:tcW w:w="1276" w:type="dxa"/>
            <w:vMerge w:val="continue"/>
            <w:tcBorders>
              <w:left w:val="nil"/>
              <w:right w:val="single" w:color="auto" w:sz="4" w:space="0"/>
            </w:tcBorders>
            <w:shd w:val="clear" w:color="auto" w:fill="auto"/>
            <w:vAlign w:val="center"/>
          </w:tcPr>
          <w:p>
            <w:pPr>
              <w:rPr>
                <w:color w:val="000000"/>
                <w:sz w:val="18"/>
                <w:szCs w:val="18"/>
              </w:rPr>
            </w:pPr>
          </w:p>
        </w:tc>
        <w:tc>
          <w:tcPr>
            <w:tcW w:w="1418" w:type="dxa"/>
            <w:vMerge w:val="continue"/>
            <w:tcBorders>
              <w:left w:val="nil"/>
              <w:right w:val="single" w:color="auto" w:sz="4" w:space="0"/>
            </w:tcBorders>
            <w:shd w:val="clear" w:color="auto" w:fill="auto"/>
            <w:vAlign w:val="center"/>
          </w:tcPr>
          <w:p>
            <w:pPr>
              <w:rPr>
                <w:color w:val="000000"/>
                <w:sz w:val="18"/>
                <w:szCs w:val="18"/>
              </w:rPr>
            </w:pPr>
          </w:p>
        </w:tc>
        <w:tc>
          <w:tcPr>
            <w:tcW w:w="1134" w:type="dxa"/>
            <w:vMerge w:val="continue"/>
            <w:tcBorders>
              <w:left w:val="nil"/>
              <w:right w:val="single" w:color="auto" w:sz="4" w:space="0"/>
            </w:tcBorders>
            <w:shd w:val="clear" w:color="auto" w:fill="auto"/>
            <w:vAlign w:val="center"/>
          </w:tcPr>
          <w:p>
            <w:pP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9" w:type="dxa"/>
            <w:vMerge w:val="continue"/>
            <w:tcBorders>
              <w:bottom w:val="single" w:color="auto" w:sz="4" w:space="0"/>
            </w:tcBorders>
            <w:vAlign w:val="center"/>
          </w:tcPr>
          <w:p>
            <w:pPr>
              <w:widowControl/>
              <w:jc w:val="center"/>
              <w:rPr>
                <w:rFonts w:cs="宋体" w:asciiTheme="minorEastAsia" w:hAnsiTheme="minorEastAsia"/>
                <w:kern w:val="0"/>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对养老机构及其工作人员侵害老年人人身和财产权益，或者未按照约定提供服务的处罚</w:t>
            </w:r>
          </w:p>
        </w:tc>
        <w:tc>
          <w:tcPr>
            <w:tcW w:w="2410" w:type="dxa"/>
            <w:tcBorders>
              <w:top w:val="single" w:color="auto" w:sz="4" w:space="0"/>
              <w:left w:val="nil"/>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实施依据、处罚标准、办理流程、办理时限、结果送达、监督投诉渠道等</w:t>
            </w:r>
          </w:p>
        </w:tc>
        <w:tc>
          <w:tcPr>
            <w:tcW w:w="2977" w:type="dxa"/>
            <w:tcBorders>
              <w:top w:val="single" w:color="auto" w:sz="4" w:space="0"/>
              <w:left w:val="nil"/>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 xml:space="preserve">《中华人民共和国老年人权益保障法》《中华人民共和国政府信息公开条例》 </w:t>
            </w:r>
          </w:p>
        </w:tc>
        <w:tc>
          <w:tcPr>
            <w:tcW w:w="1417" w:type="dxa"/>
            <w:vMerge w:val="continue"/>
            <w:tcBorders>
              <w:left w:val="nil"/>
              <w:right w:val="single" w:color="auto" w:sz="4" w:space="0"/>
            </w:tcBorders>
            <w:shd w:val="clear" w:color="auto" w:fill="auto"/>
            <w:vAlign w:val="center"/>
          </w:tcPr>
          <w:p>
            <w:pPr>
              <w:rPr>
                <w:color w:val="000000"/>
                <w:sz w:val="18"/>
                <w:szCs w:val="18"/>
              </w:rPr>
            </w:pPr>
          </w:p>
        </w:tc>
        <w:tc>
          <w:tcPr>
            <w:tcW w:w="1134" w:type="dxa"/>
            <w:vMerge w:val="continue"/>
            <w:tcBorders>
              <w:left w:val="nil"/>
              <w:right w:val="single" w:color="auto" w:sz="4" w:space="0"/>
            </w:tcBorders>
            <w:shd w:val="clear" w:color="auto" w:fill="auto"/>
            <w:vAlign w:val="center"/>
          </w:tcPr>
          <w:p>
            <w:pPr>
              <w:rPr>
                <w:color w:val="000000"/>
                <w:sz w:val="18"/>
                <w:szCs w:val="18"/>
              </w:rPr>
            </w:pPr>
          </w:p>
        </w:tc>
        <w:tc>
          <w:tcPr>
            <w:tcW w:w="1276" w:type="dxa"/>
            <w:vMerge w:val="continue"/>
            <w:tcBorders>
              <w:left w:val="nil"/>
              <w:right w:val="single" w:color="auto" w:sz="4" w:space="0"/>
            </w:tcBorders>
            <w:shd w:val="clear" w:color="auto" w:fill="auto"/>
            <w:vAlign w:val="center"/>
          </w:tcPr>
          <w:p>
            <w:pPr>
              <w:rPr>
                <w:color w:val="000000"/>
                <w:sz w:val="18"/>
                <w:szCs w:val="18"/>
              </w:rPr>
            </w:pPr>
          </w:p>
        </w:tc>
        <w:tc>
          <w:tcPr>
            <w:tcW w:w="1418" w:type="dxa"/>
            <w:vMerge w:val="continue"/>
            <w:tcBorders>
              <w:left w:val="nil"/>
              <w:right w:val="single" w:color="auto" w:sz="4" w:space="0"/>
            </w:tcBorders>
            <w:shd w:val="clear" w:color="auto" w:fill="auto"/>
            <w:vAlign w:val="center"/>
          </w:tcPr>
          <w:p>
            <w:pPr>
              <w:rPr>
                <w:color w:val="000000"/>
                <w:sz w:val="18"/>
                <w:szCs w:val="18"/>
              </w:rPr>
            </w:pPr>
          </w:p>
        </w:tc>
        <w:tc>
          <w:tcPr>
            <w:tcW w:w="1134" w:type="dxa"/>
            <w:vMerge w:val="continue"/>
            <w:tcBorders>
              <w:left w:val="nil"/>
              <w:right w:val="single" w:color="auto" w:sz="4" w:space="0"/>
            </w:tcBorders>
            <w:shd w:val="clear" w:color="auto" w:fill="auto"/>
            <w:vAlign w:val="center"/>
          </w:tcPr>
          <w:p>
            <w:pP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9" w:type="dxa"/>
            <w:vMerge w:val="restart"/>
            <w:tcBorders>
              <w:top w:val="single" w:color="auto" w:sz="4" w:space="0"/>
            </w:tcBorders>
            <w:vAlign w:val="center"/>
          </w:tcPr>
          <w:p>
            <w:pPr>
              <w:widowControl/>
              <w:jc w:val="center"/>
              <w:rPr>
                <w:rFonts w:cs="宋体" w:asciiTheme="minorEastAsia" w:hAnsiTheme="minorEastAsia"/>
                <w:kern w:val="0"/>
                <w:szCs w:val="21"/>
              </w:rPr>
            </w:pPr>
            <w:r>
              <w:rPr>
                <w:rFonts w:cs="宋体" w:asciiTheme="minorEastAsia" w:hAnsiTheme="minorEastAsia"/>
                <w:kern w:val="0"/>
                <w:szCs w:val="21"/>
              </w:rPr>
              <w:t>行政其他</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color w:val="000000"/>
                <w:szCs w:val="21"/>
              </w:rPr>
            </w:pPr>
            <w:r>
              <w:rPr>
                <w:rFonts w:hint="eastAsia" w:asciiTheme="minorEastAsia" w:hAnsiTheme="minorEastAsia"/>
                <w:color w:val="000000"/>
                <w:szCs w:val="21"/>
              </w:rPr>
              <w:t>养老机构评估管理</w:t>
            </w:r>
          </w:p>
        </w:tc>
        <w:tc>
          <w:tcPr>
            <w:tcW w:w="2410" w:type="dxa"/>
            <w:tcBorders>
              <w:top w:val="single" w:color="auto" w:sz="4" w:space="0"/>
              <w:left w:val="nil"/>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评估制度、评估标准、评估内容、材料清单、办理流程、监督投诉渠道等</w:t>
            </w:r>
          </w:p>
        </w:tc>
        <w:tc>
          <w:tcPr>
            <w:tcW w:w="2977" w:type="dxa"/>
            <w:tcBorders>
              <w:top w:val="single" w:color="auto" w:sz="4" w:space="0"/>
              <w:left w:val="nil"/>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 xml:space="preserve">《江苏省养老服务条例》《中华人民共和国政府信息公开条例》 </w:t>
            </w:r>
          </w:p>
        </w:tc>
        <w:tc>
          <w:tcPr>
            <w:tcW w:w="1417" w:type="dxa"/>
            <w:vMerge w:val="continue"/>
            <w:tcBorders>
              <w:left w:val="nil"/>
              <w:right w:val="single" w:color="auto" w:sz="4" w:space="0"/>
            </w:tcBorders>
            <w:shd w:val="clear" w:color="auto" w:fill="auto"/>
            <w:vAlign w:val="center"/>
          </w:tcPr>
          <w:p>
            <w:pPr>
              <w:rPr>
                <w:color w:val="000000"/>
                <w:sz w:val="18"/>
                <w:szCs w:val="18"/>
              </w:rPr>
            </w:pPr>
          </w:p>
        </w:tc>
        <w:tc>
          <w:tcPr>
            <w:tcW w:w="1134" w:type="dxa"/>
            <w:vMerge w:val="continue"/>
            <w:tcBorders>
              <w:left w:val="nil"/>
              <w:right w:val="single" w:color="auto" w:sz="4" w:space="0"/>
            </w:tcBorders>
            <w:shd w:val="clear" w:color="auto" w:fill="auto"/>
            <w:vAlign w:val="center"/>
          </w:tcPr>
          <w:p>
            <w:pPr>
              <w:rPr>
                <w:color w:val="000000"/>
                <w:sz w:val="18"/>
                <w:szCs w:val="18"/>
              </w:rPr>
            </w:pPr>
          </w:p>
        </w:tc>
        <w:tc>
          <w:tcPr>
            <w:tcW w:w="1276" w:type="dxa"/>
            <w:vMerge w:val="continue"/>
            <w:tcBorders>
              <w:left w:val="nil"/>
              <w:right w:val="single" w:color="auto" w:sz="4" w:space="0"/>
            </w:tcBorders>
            <w:shd w:val="clear" w:color="auto" w:fill="auto"/>
            <w:vAlign w:val="center"/>
          </w:tcPr>
          <w:p>
            <w:pPr>
              <w:rPr>
                <w:color w:val="000000"/>
                <w:sz w:val="18"/>
                <w:szCs w:val="18"/>
              </w:rPr>
            </w:pPr>
          </w:p>
        </w:tc>
        <w:tc>
          <w:tcPr>
            <w:tcW w:w="1418" w:type="dxa"/>
            <w:vMerge w:val="continue"/>
            <w:tcBorders>
              <w:left w:val="nil"/>
              <w:right w:val="single" w:color="auto" w:sz="4" w:space="0"/>
            </w:tcBorders>
            <w:shd w:val="clear" w:color="auto" w:fill="auto"/>
            <w:vAlign w:val="center"/>
          </w:tcPr>
          <w:p>
            <w:pPr>
              <w:rPr>
                <w:color w:val="000000"/>
                <w:sz w:val="18"/>
                <w:szCs w:val="18"/>
              </w:rPr>
            </w:pPr>
          </w:p>
        </w:tc>
        <w:tc>
          <w:tcPr>
            <w:tcW w:w="1134" w:type="dxa"/>
            <w:vMerge w:val="continue"/>
            <w:tcBorders>
              <w:left w:val="nil"/>
              <w:right w:val="single" w:color="auto" w:sz="4" w:space="0"/>
            </w:tcBorders>
            <w:shd w:val="clear" w:color="auto" w:fill="auto"/>
            <w:vAlign w:val="center"/>
          </w:tcPr>
          <w:p>
            <w:pP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9" w:type="dxa"/>
            <w:vMerge w:val="continue"/>
            <w:vAlign w:val="center"/>
          </w:tcPr>
          <w:p>
            <w:pPr>
              <w:widowControl/>
              <w:jc w:val="center"/>
              <w:rPr>
                <w:rFonts w:cs="宋体" w:asciiTheme="minorEastAsia" w:hAnsiTheme="minorEastAsia"/>
                <w:kern w:val="0"/>
                <w:szCs w:val="21"/>
              </w:rPr>
            </w:pPr>
          </w:p>
        </w:tc>
        <w:tc>
          <w:tcPr>
            <w:tcW w:w="1701" w:type="dxa"/>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养老机构备案</w:t>
            </w:r>
          </w:p>
        </w:tc>
        <w:tc>
          <w:tcPr>
            <w:tcW w:w="2410"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备案事项、审批依据、办理流程、材料清单、办理时限、结果送达、监督投诉渠道等</w:t>
            </w:r>
          </w:p>
        </w:tc>
        <w:tc>
          <w:tcPr>
            <w:tcW w:w="2977" w:type="dxa"/>
            <w:tcBorders>
              <w:top w:val="nil"/>
              <w:left w:val="nil"/>
              <w:bottom w:val="single" w:color="auto" w:sz="4" w:space="0"/>
              <w:right w:val="single" w:color="auto" w:sz="4" w:space="0"/>
            </w:tcBorders>
            <w:shd w:val="clear" w:color="auto" w:fill="auto"/>
            <w:vAlign w:val="center"/>
          </w:tcPr>
          <w:p>
            <w:pPr>
              <w:rPr>
                <w:rFonts w:asciiTheme="minorEastAsia" w:hAnsiTheme="minorEastAsia"/>
                <w:color w:val="000000"/>
                <w:szCs w:val="21"/>
              </w:rPr>
            </w:pPr>
            <w:r>
              <w:rPr>
                <w:rFonts w:hint="eastAsia" w:asciiTheme="minorEastAsia" w:hAnsiTheme="minorEastAsia"/>
                <w:color w:val="000000"/>
                <w:szCs w:val="21"/>
              </w:rPr>
              <w:t xml:space="preserve">《中华人民共和国老年人权益保障法》《中华人民共和国政府信息公开条例》 </w:t>
            </w:r>
          </w:p>
        </w:tc>
        <w:tc>
          <w:tcPr>
            <w:tcW w:w="1417" w:type="dxa"/>
            <w:vMerge w:val="continue"/>
            <w:tcBorders>
              <w:left w:val="nil"/>
              <w:bottom w:val="single" w:color="auto" w:sz="4" w:space="0"/>
              <w:right w:val="single" w:color="auto" w:sz="4" w:space="0"/>
            </w:tcBorders>
            <w:shd w:val="clear" w:color="auto" w:fill="auto"/>
            <w:vAlign w:val="center"/>
          </w:tcPr>
          <w:p>
            <w:pPr>
              <w:rPr>
                <w:color w:val="000000"/>
                <w:sz w:val="18"/>
                <w:szCs w:val="18"/>
              </w:rPr>
            </w:pPr>
          </w:p>
        </w:tc>
        <w:tc>
          <w:tcPr>
            <w:tcW w:w="1134" w:type="dxa"/>
            <w:vMerge w:val="continue"/>
            <w:tcBorders>
              <w:left w:val="nil"/>
              <w:bottom w:val="single" w:color="auto" w:sz="4" w:space="0"/>
              <w:right w:val="single" w:color="auto" w:sz="4" w:space="0"/>
            </w:tcBorders>
            <w:shd w:val="clear" w:color="auto" w:fill="auto"/>
            <w:vAlign w:val="center"/>
          </w:tcPr>
          <w:p>
            <w:pPr>
              <w:rPr>
                <w:color w:val="000000"/>
                <w:sz w:val="18"/>
                <w:szCs w:val="18"/>
              </w:rPr>
            </w:pPr>
          </w:p>
        </w:tc>
        <w:tc>
          <w:tcPr>
            <w:tcW w:w="1276" w:type="dxa"/>
            <w:vMerge w:val="continue"/>
            <w:tcBorders>
              <w:left w:val="nil"/>
              <w:bottom w:val="single" w:color="auto" w:sz="4" w:space="0"/>
              <w:right w:val="single" w:color="auto" w:sz="4" w:space="0"/>
            </w:tcBorders>
            <w:shd w:val="clear" w:color="auto" w:fill="auto"/>
            <w:vAlign w:val="center"/>
          </w:tcPr>
          <w:p>
            <w:pPr>
              <w:rPr>
                <w:color w:val="000000"/>
                <w:sz w:val="18"/>
                <w:szCs w:val="18"/>
              </w:rPr>
            </w:pPr>
          </w:p>
        </w:tc>
        <w:tc>
          <w:tcPr>
            <w:tcW w:w="1418" w:type="dxa"/>
            <w:vMerge w:val="continue"/>
            <w:tcBorders>
              <w:left w:val="nil"/>
              <w:bottom w:val="single" w:color="auto" w:sz="4" w:space="0"/>
              <w:right w:val="single" w:color="auto" w:sz="4" w:space="0"/>
            </w:tcBorders>
            <w:shd w:val="clear" w:color="auto" w:fill="auto"/>
            <w:vAlign w:val="center"/>
          </w:tcPr>
          <w:p>
            <w:pPr>
              <w:rPr>
                <w:color w:val="000000"/>
                <w:sz w:val="18"/>
                <w:szCs w:val="18"/>
              </w:rPr>
            </w:pPr>
          </w:p>
        </w:tc>
        <w:tc>
          <w:tcPr>
            <w:tcW w:w="1134" w:type="dxa"/>
            <w:vMerge w:val="continue"/>
            <w:tcBorders>
              <w:left w:val="nil"/>
              <w:bottom w:val="single" w:color="auto" w:sz="4" w:space="0"/>
              <w:right w:val="single" w:color="auto" w:sz="4" w:space="0"/>
            </w:tcBorders>
            <w:shd w:val="clear" w:color="auto" w:fill="auto"/>
            <w:vAlign w:val="center"/>
          </w:tcPr>
          <w:p>
            <w:pPr>
              <w:rPr>
                <w:color w:val="000000"/>
                <w:sz w:val="18"/>
                <w:szCs w:val="18"/>
              </w:rPr>
            </w:pPr>
          </w:p>
        </w:tc>
      </w:tr>
    </w:tbl>
    <w:p>
      <w:pPr>
        <w:spacing w:line="560" w:lineRule="exact"/>
        <w:rPr>
          <w:sz w:val="32"/>
          <w:szCs w:val="32"/>
        </w:rPr>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094"/>
    <w:rsid w:val="00021B1F"/>
    <w:rsid w:val="00023E48"/>
    <w:rsid w:val="000265F9"/>
    <w:rsid w:val="00052A35"/>
    <w:rsid w:val="000569F8"/>
    <w:rsid w:val="0006518A"/>
    <w:rsid w:val="00071444"/>
    <w:rsid w:val="00084F6E"/>
    <w:rsid w:val="0008726A"/>
    <w:rsid w:val="0009292B"/>
    <w:rsid w:val="00094CB5"/>
    <w:rsid w:val="001166A7"/>
    <w:rsid w:val="00123415"/>
    <w:rsid w:val="00134E1C"/>
    <w:rsid w:val="00142691"/>
    <w:rsid w:val="00142F28"/>
    <w:rsid w:val="001514BA"/>
    <w:rsid w:val="00157013"/>
    <w:rsid w:val="00166E51"/>
    <w:rsid w:val="00174482"/>
    <w:rsid w:val="0019282F"/>
    <w:rsid w:val="001A2610"/>
    <w:rsid w:val="001A4812"/>
    <w:rsid w:val="001A66AB"/>
    <w:rsid w:val="001B60A0"/>
    <w:rsid w:val="001C7D28"/>
    <w:rsid w:val="001E2737"/>
    <w:rsid w:val="00206C30"/>
    <w:rsid w:val="00207DBB"/>
    <w:rsid w:val="002203B1"/>
    <w:rsid w:val="00242C70"/>
    <w:rsid w:val="00245348"/>
    <w:rsid w:val="00250B18"/>
    <w:rsid w:val="00277E0C"/>
    <w:rsid w:val="002829C9"/>
    <w:rsid w:val="002B7620"/>
    <w:rsid w:val="002C47B4"/>
    <w:rsid w:val="002F1828"/>
    <w:rsid w:val="002F40B1"/>
    <w:rsid w:val="00303A58"/>
    <w:rsid w:val="003117AB"/>
    <w:rsid w:val="00330DBF"/>
    <w:rsid w:val="0036134B"/>
    <w:rsid w:val="00367083"/>
    <w:rsid w:val="00375BBF"/>
    <w:rsid w:val="003879D1"/>
    <w:rsid w:val="003A337F"/>
    <w:rsid w:val="003B0F98"/>
    <w:rsid w:val="003D31CC"/>
    <w:rsid w:val="003E4DFB"/>
    <w:rsid w:val="003F2F25"/>
    <w:rsid w:val="0041621E"/>
    <w:rsid w:val="0043432F"/>
    <w:rsid w:val="00442E50"/>
    <w:rsid w:val="0045231A"/>
    <w:rsid w:val="004911FD"/>
    <w:rsid w:val="004A32BB"/>
    <w:rsid w:val="004B20FD"/>
    <w:rsid w:val="004B27D4"/>
    <w:rsid w:val="004E00B3"/>
    <w:rsid w:val="005022CD"/>
    <w:rsid w:val="005245CD"/>
    <w:rsid w:val="00532054"/>
    <w:rsid w:val="00537115"/>
    <w:rsid w:val="005457A2"/>
    <w:rsid w:val="00555AEC"/>
    <w:rsid w:val="0056729B"/>
    <w:rsid w:val="00573E31"/>
    <w:rsid w:val="00582639"/>
    <w:rsid w:val="005839AD"/>
    <w:rsid w:val="0058437C"/>
    <w:rsid w:val="00586B48"/>
    <w:rsid w:val="00590EC7"/>
    <w:rsid w:val="00593434"/>
    <w:rsid w:val="005B421B"/>
    <w:rsid w:val="005B6B26"/>
    <w:rsid w:val="005E065D"/>
    <w:rsid w:val="005F1B8C"/>
    <w:rsid w:val="0061692A"/>
    <w:rsid w:val="006251C3"/>
    <w:rsid w:val="0063455C"/>
    <w:rsid w:val="00637CB6"/>
    <w:rsid w:val="006436B3"/>
    <w:rsid w:val="00645233"/>
    <w:rsid w:val="006562CB"/>
    <w:rsid w:val="00673F8C"/>
    <w:rsid w:val="00682E8E"/>
    <w:rsid w:val="00694FCE"/>
    <w:rsid w:val="00697918"/>
    <w:rsid w:val="006A01F8"/>
    <w:rsid w:val="006B0323"/>
    <w:rsid w:val="006B4341"/>
    <w:rsid w:val="006C2D8A"/>
    <w:rsid w:val="006D4475"/>
    <w:rsid w:val="007169EE"/>
    <w:rsid w:val="00720C95"/>
    <w:rsid w:val="007250C7"/>
    <w:rsid w:val="00740275"/>
    <w:rsid w:val="00776475"/>
    <w:rsid w:val="007800A3"/>
    <w:rsid w:val="00787ED3"/>
    <w:rsid w:val="00797D2B"/>
    <w:rsid w:val="007A3580"/>
    <w:rsid w:val="007C28DC"/>
    <w:rsid w:val="007C73FB"/>
    <w:rsid w:val="007D71CD"/>
    <w:rsid w:val="007E065A"/>
    <w:rsid w:val="007E4A0D"/>
    <w:rsid w:val="007E7603"/>
    <w:rsid w:val="007F453B"/>
    <w:rsid w:val="007F4DEE"/>
    <w:rsid w:val="008047D1"/>
    <w:rsid w:val="00805D6E"/>
    <w:rsid w:val="00811F3A"/>
    <w:rsid w:val="008356D1"/>
    <w:rsid w:val="00850D64"/>
    <w:rsid w:val="00860EA1"/>
    <w:rsid w:val="008642B2"/>
    <w:rsid w:val="0087169D"/>
    <w:rsid w:val="00895EBD"/>
    <w:rsid w:val="008A1B04"/>
    <w:rsid w:val="008A6335"/>
    <w:rsid w:val="008C1476"/>
    <w:rsid w:val="008D0794"/>
    <w:rsid w:val="008D3076"/>
    <w:rsid w:val="0091301D"/>
    <w:rsid w:val="00920711"/>
    <w:rsid w:val="00945F8A"/>
    <w:rsid w:val="009522E7"/>
    <w:rsid w:val="009A3880"/>
    <w:rsid w:val="009B31AF"/>
    <w:rsid w:val="009D7C4C"/>
    <w:rsid w:val="009F3115"/>
    <w:rsid w:val="00A07C64"/>
    <w:rsid w:val="00A12857"/>
    <w:rsid w:val="00A42FE4"/>
    <w:rsid w:val="00A56F74"/>
    <w:rsid w:val="00A57FFC"/>
    <w:rsid w:val="00AB245E"/>
    <w:rsid w:val="00AD0CD1"/>
    <w:rsid w:val="00AE50F4"/>
    <w:rsid w:val="00AF132F"/>
    <w:rsid w:val="00AF2697"/>
    <w:rsid w:val="00B16CD0"/>
    <w:rsid w:val="00B2051F"/>
    <w:rsid w:val="00B35130"/>
    <w:rsid w:val="00B56849"/>
    <w:rsid w:val="00B7528F"/>
    <w:rsid w:val="00B97795"/>
    <w:rsid w:val="00BB7A51"/>
    <w:rsid w:val="00BC16AC"/>
    <w:rsid w:val="00BD220B"/>
    <w:rsid w:val="00BE267F"/>
    <w:rsid w:val="00BE6DCF"/>
    <w:rsid w:val="00C00E96"/>
    <w:rsid w:val="00C12B0F"/>
    <w:rsid w:val="00C220AD"/>
    <w:rsid w:val="00C62EFE"/>
    <w:rsid w:val="00C74C2B"/>
    <w:rsid w:val="00C7698E"/>
    <w:rsid w:val="00C822DD"/>
    <w:rsid w:val="00C83364"/>
    <w:rsid w:val="00C876C5"/>
    <w:rsid w:val="00C905BF"/>
    <w:rsid w:val="00CA09F5"/>
    <w:rsid w:val="00CA5FBA"/>
    <w:rsid w:val="00CC327F"/>
    <w:rsid w:val="00CD256D"/>
    <w:rsid w:val="00D05F29"/>
    <w:rsid w:val="00D22A82"/>
    <w:rsid w:val="00D22E87"/>
    <w:rsid w:val="00D25094"/>
    <w:rsid w:val="00D60711"/>
    <w:rsid w:val="00D610DC"/>
    <w:rsid w:val="00D64012"/>
    <w:rsid w:val="00D64FA1"/>
    <w:rsid w:val="00D75041"/>
    <w:rsid w:val="00D8078C"/>
    <w:rsid w:val="00D91F70"/>
    <w:rsid w:val="00DA2891"/>
    <w:rsid w:val="00DB0B8B"/>
    <w:rsid w:val="00DB5322"/>
    <w:rsid w:val="00DE13EE"/>
    <w:rsid w:val="00E032C8"/>
    <w:rsid w:val="00E03B57"/>
    <w:rsid w:val="00E04271"/>
    <w:rsid w:val="00E10495"/>
    <w:rsid w:val="00E24EA3"/>
    <w:rsid w:val="00E37D5C"/>
    <w:rsid w:val="00E44A60"/>
    <w:rsid w:val="00E5209F"/>
    <w:rsid w:val="00E63D3C"/>
    <w:rsid w:val="00E97483"/>
    <w:rsid w:val="00F308B5"/>
    <w:rsid w:val="00F32380"/>
    <w:rsid w:val="00F33A22"/>
    <w:rsid w:val="00F33DF9"/>
    <w:rsid w:val="00F409B0"/>
    <w:rsid w:val="00F50F62"/>
    <w:rsid w:val="00F60D54"/>
    <w:rsid w:val="00F6148F"/>
    <w:rsid w:val="00F750F9"/>
    <w:rsid w:val="00F766D8"/>
    <w:rsid w:val="00FB0C38"/>
    <w:rsid w:val="00FB3DAA"/>
    <w:rsid w:val="00FC0BCA"/>
    <w:rsid w:val="00FE17EA"/>
    <w:rsid w:val="00FE3FD3"/>
    <w:rsid w:val="00FE72F3"/>
    <w:rsid w:val="041F239B"/>
    <w:rsid w:val="24156C7A"/>
    <w:rsid w:val="5F817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256</Words>
  <Characters>1460</Characters>
  <Lines>12</Lines>
  <Paragraphs>3</Paragraphs>
  <TotalTime>516</TotalTime>
  <ScaleCrop>false</ScaleCrop>
  <LinksUpToDate>false</LinksUpToDate>
  <CharactersWithSpaces>1713</CharactersWithSpaces>
  <Application>WPS Office_11.1.0.10026_F1E327BC-269C-435d-A152-05C5408002CA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2020-11-26T00:31:00Z</dcterms:created>
  <dc:creator>米苏(misu)</dc:creator>
  <cp:lastModifiedBy>Administrator</cp:lastModifiedBy>
  <dcterms:modified xsi:type="dcterms:W3CDTF">2020-12-15T09:04:11Z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2052-11.1.0.10026</vt:lpwstr>
  </property>
</Properties>
</file>