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916306">
      <w:pPr>
        <w:adjustRightInd w:val="0"/>
        <w:snapToGrid w:val="0"/>
        <w:spacing w:line="300" w:lineRule="auto"/>
        <w:jc w:val="center"/>
        <w:rPr>
          <w:rFonts w:hint="eastAsia" w:eastAsia="方正小标宋_GBK"/>
          <w:sz w:val="44"/>
          <w:szCs w:val="44"/>
        </w:rPr>
      </w:pPr>
      <w:r>
        <w:rPr>
          <w:rFonts w:hint="eastAsia" w:eastAsia="方正小标宋_GBK"/>
          <w:sz w:val="44"/>
          <w:szCs w:val="44"/>
        </w:rPr>
        <w:t>市政府办公厅关于印发新街口地铁站</w:t>
      </w:r>
    </w:p>
    <w:p w14:paraId="260BA79D">
      <w:pPr>
        <w:adjustRightInd w:val="0"/>
        <w:snapToGrid w:val="0"/>
        <w:spacing w:line="300" w:lineRule="auto"/>
        <w:jc w:val="center"/>
        <w:rPr>
          <w:rFonts w:hint="eastAsia" w:eastAsia="方正小标宋_GBK"/>
          <w:sz w:val="44"/>
          <w:szCs w:val="44"/>
        </w:rPr>
      </w:pPr>
      <w:r>
        <w:rPr>
          <w:rFonts w:hint="eastAsia" w:eastAsia="方正小标宋_GBK"/>
          <w:sz w:val="44"/>
          <w:szCs w:val="44"/>
        </w:rPr>
        <w:t>地下空间突发事件应急预案的通知</w:t>
      </w:r>
    </w:p>
    <w:p w14:paraId="607009A1">
      <w:pPr>
        <w:adjustRightInd w:val="0"/>
        <w:snapToGrid w:val="0"/>
        <w:spacing w:line="300" w:lineRule="auto"/>
        <w:jc w:val="center"/>
        <w:rPr>
          <w:rFonts w:eastAsia="方正仿宋_GBK"/>
          <w:sz w:val="32"/>
          <w:szCs w:val="32"/>
        </w:rPr>
      </w:pPr>
      <w:r>
        <w:rPr>
          <w:rFonts w:hint="eastAsia" w:eastAsia="方正仿宋_GBK"/>
          <w:bCs/>
          <w:snapToGrid w:val="0"/>
          <w:kern w:val="0"/>
          <w:sz w:val="32"/>
        </w:rPr>
        <w:t>宁政办发〔2025〕48号</w:t>
      </w:r>
    </w:p>
    <w:p w14:paraId="6C826C3E">
      <w:pPr>
        <w:adjustRightInd w:val="0"/>
        <w:snapToGrid w:val="0"/>
        <w:spacing w:line="300" w:lineRule="auto"/>
        <w:rPr>
          <w:rFonts w:hint="eastAsia" w:eastAsia="方正仿宋_GBK"/>
          <w:spacing w:val="-6"/>
          <w:sz w:val="32"/>
          <w:szCs w:val="32"/>
        </w:rPr>
      </w:pPr>
    </w:p>
    <w:p w14:paraId="6ECB3123">
      <w:pPr>
        <w:adjustRightInd w:val="0"/>
        <w:snapToGrid w:val="0"/>
        <w:spacing w:line="300" w:lineRule="auto"/>
        <w:rPr>
          <w:rFonts w:hint="eastAsia" w:eastAsia="方正仿宋_GBK"/>
          <w:sz w:val="32"/>
          <w:szCs w:val="32"/>
        </w:rPr>
      </w:pPr>
      <w:r>
        <w:rPr>
          <w:rFonts w:hint="eastAsia" w:eastAsia="方正仿宋_GBK"/>
          <w:spacing w:val="-6"/>
          <w:sz w:val="32"/>
          <w:szCs w:val="32"/>
        </w:rPr>
        <w:t>各区人民政府，江北新区管委会，市府各委办局，市各直属单位</w:t>
      </w:r>
      <w:r>
        <w:rPr>
          <w:rFonts w:hint="eastAsia" w:eastAsia="方正仿宋_GBK"/>
          <w:sz w:val="32"/>
          <w:szCs w:val="32"/>
        </w:rPr>
        <w:t>：</w:t>
      </w:r>
    </w:p>
    <w:p w14:paraId="07686F50">
      <w:pPr>
        <w:adjustRightInd w:val="0"/>
        <w:snapToGrid w:val="0"/>
        <w:spacing w:line="300" w:lineRule="auto"/>
        <w:ind w:firstLine="640" w:firstLineChars="200"/>
        <w:rPr>
          <w:rFonts w:hint="eastAsia" w:eastAsia="方正仿宋_GBK"/>
          <w:sz w:val="32"/>
          <w:szCs w:val="32"/>
        </w:rPr>
      </w:pPr>
      <w:r>
        <w:rPr>
          <w:rFonts w:hint="eastAsia" w:eastAsia="方正仿宋_GBK"/>
          <w:sz w:val="32"/>
          <w:szCs w:val="32"/>
        </w:rPr>
        <w:t>经市政府同意，现将《新街口地铁站地下空间突发事件应急预案》印发给你们，请认真遵照执行。</w:t>
      </w:r>
    </w:p>
    <w:p w14:paraId="5FCA43EA">
      <w:pPr>
        <w:adjustRightInd w:val="0"/>
        <w:snapToGrid w:val="0"/>
        <w:spacing w:line="300" w:lineRule="auto"/>
        <w:ind w:firstLine="560" w:firstLineChars="200"/>
        <w:rPr>
          <w:rFonts w:hint="eastAsia" w:eastAsia="方正仿宋_GBK"/>
          <w:sz w:val="28"/>
          <w:szCs w:val="28"/>
        </w:rPr>
      </w:pPr>
    </w:p>
    <w:p w14:paraId="0DC96E73">
      <w:pPr>
        <w:adjustRightInd w:val="0"/>
        <w:snapToGrid w:val="0"/>
        <w:spacing w:line="300" w:lineRule="auto"/>
        <w:ind w:firstLine="560" w:firstLineChars="200"/>
        <w:rPr>
          <w:rFonts w:hint="eastAsia" w:eastAsia="方正仿宋_GBK"/>
          <w:sz w:val="28"/>
          <w:szCs w:val="28"/>
        </w:rPr>
      </w:pPr>
    </w:p>
    <w:p w14:paraId="78D7B796">
      <w:pPr>
        <w:adjustRightInd w:val="0"/>
        <w:snapToGrid w:val="0"/>
        <w:spacing w:line="300" w:lineRule="auto"/>
        <w:ind w:firstLine="560" w:firstLineChars="200"/>
        <w:rPr>
          <w:rFonts w:hint="eastAsia" w:eastAsia="方正仿宋_GBK"/>
          <w:sz w:val="28"/>
          <w:szCs w:val="28"/>
        </w:rPr>
      </w:pPr>
    </w:p>
    <w:p w14:paraId="433A962B">
      <w:pPr>
        <w:adjustRightInd w:val="0"/>
        <w:snapToGrid w:val="0"/>
        <w:spacing w:line="300" w:lineRule="auto"/>
        <w:ind w:firstLine="4464" w:firstLineChars="1395"/>
        <w:rPr>
          <w:rFonts w:hint="eastAsia" w:eastAsia="方正仿宋_GBK"/>
          <w:sz w:val="32"/>
          <w:szCs w:val="32"/>
        </w:rPr>
      </w:pPr>
      <w:r>
        <w:rPr>
          <w:rFonts w:hint="eastAsia" w:eastAsia="方正仿宋_GBK"/>
          <w:sz w:val="32"/>
          <w:szCs w:val="32"/>
        </w:rPr>
        <w:t>南京市人民政府办公厅</w:t>
      </w:r>
    </w:p>
    <w:p w14:paraId="44B1B35A">
      <w:pPr>
        <w:adjustRightInd w:val="0"/>
        <w:snapToGrid w:val="0"/>
        <w:spacing w:line="300" w:lineRule="auto"/>
        <w:ind w:firstLine="4745" w:firstLineChars="1483"/>
        <w:rPr>
          <w:rFonts w:hint="eastAsia" w:eastAsia="方正仿宋_GBK"/>
          <w:sz w:val="32"/>
          <w:szCs w:val="32"/>
        </w:rPr>
      </w:pPr>
      <w:r>
        <w:rPr>
          <w:rFonts w:eastAsia="方正仿宋_GBK"/>
          <w:sz w:val="32"/>
          <w:szCs w:val="32"/>
        </w:rPr>
        <w:t>20</w:t>
      </w:r>
      <w:r>
        <w:rPr>
          <w:rFonts w:hint="eastAsia" w:eastAsia="方正仿宋_GBK"/>
          <w:sz w:val="32"/>
          <w:szCs w:val="32"/>
        </w:rPr>
        <w:t>25</w:t>
      </w:r>
      <w:r>
        <w:rPr>
          <w:rFonts w:eastAsia="方正仿宋_GBK"/>
          <w:sz w:val="32"/>
          <w:szCs w:val="32"/>
        </w:rPr>
        <w:t>年</w:t>
      </w:r>
      <w:r>
        <w:rPr>
          <w:rFonts w:hint="eastAsia" w:eastAsia="方正仿宋_GBK"/>
          <w:sz w:val="32"/>
          <w:szCs w:val="32"/>
        </w:rPr>
        <w:t>12</w:t>
      </w:r>
      <w:r>
        <w:rPr>
          <w:rFonts w:eastAsia="方正仿宋_GBK"/>
          <w:sz w:val="32"/>
          <w:szCs w:val="32"/>
        </w:rPr>
        <w:t>月</w:t>
      </w:r>
      <w:r>
        <w:rPr>
          <w:rFonts w:hint="eastAsia" w:eastAsia="方正仿宋_GBK"/>
          <w:sz w:val="32"/>
          <w:szCs w:val="32"/>
        </w:rPr>
        <w:t>11</w:t>
      </w:r>
      <w:r>
        <w:rPr>
          <w:rFonts w:eastAsia="方正仿宋_GBK"/>
          <w:sz w:val="32"/>
          <w:szCs w:val="32"/>
        </w:rPr>
        <w:t>日</w:t>
      </w:r>
    </w:p>
    <w:p w14:paraId="73149172">
      <w:pPr>
        <w:spacing w:line="324" w:lineRule="auto"/>
        <w:rPr>
          <w:rFonts w:hint="eastAsia" w:eastAsia="方正仿宋_GBK"/>
          <w:sz w:val="32"/>
        </w:rPr>
        <w:sectPr>
          <w:pgSz w:w="11906" w:h="16838"/>
          <w:pgMar w:top="2098" w:right="1588" w:bottom="1701" w:left="1588" w:header="851" w:footer="1247" w:gutter="0"/>
          <w:pgNumType w:fmt="decimal"/>
          <w:cols w:space="720" w:num="1"/>
          <w:docGrid w:linePitch="408" w:charSpace="0"/>
        </w:sectPr>
      </w:pPr>
    </w:p>
    <w:p w14:paraId="63880C22">
      <w:pPr>
        <w:spacing w:line="300" w:lineRule="auto"/>
        <w:ind w:firstLine="640" w:firstLineChars="200"/>
        <w:rPr>
          <w:rFonts w:hint="eastAsia" w:eastAsia="方正仿宋_GBK"/>
          <w:sz w:val="32"/>
          <w:szCs w:val="32"/>
        </w:rPr>
      </w:pPr>
    </w:p>
    <w:p w14:paraId="20520F08">
      <w:pPr>
        <w:spacing w:line="300" w:lineRule="auto"/>
        <w:jc w:val="center"/>
        <w:rPr>
          <w:rFonts w:eastAsia="方正小标宋_GBK"/>
          <w:sz w:val="44"/>
          <w:szCs w:val="44"/>
        </w:rPr>
      </w:pPr>
      <w:r>
        <w:rPr>
          <w:rFonts w:eastAsia="方正小标宋_GBK"/>
          <w:sz w:val="44"/>
          <w:szCs w:val="44"/>
        </w:rPr>
        <w:t>新街口地铁站地下空间突发事件应急预案</w:t>
      </w:r>
    </w:p>
    <w:p w14:paraId="194EA295">
      <w:pPr>
        <w:spacing w:line="300" w:lineRule="auto"/>
        <w:ind w:firstLine="640" w:firstLineChars="200"/>
        <w:rPr>
          <w:rFonts w:eastAsia="方正仿宋_GBK"/>
          <w:sz w:val="32"/>
          <w:szCs w:val="32"/>
        </w:rPr>
      </w:pPr>
    </w:p>
    <w:p w14:paraId="7719C2E3">
      <w:pPr>
        <w:spacing w:line="300" w:lineRule="auto"/>
        <w:ind w:firstLine="640" w:firstLineChars="200"/>
        <w:rPr>
          <w:rFonts w:hint="eastAsia" w:ascii="方正黑体_GBK" w:eastAsia="方正黑体_GBK"/>
          <w:sz w:val="32"/>
          <w:szCs w:val="32"/>
        </w:rPr>
      </w:pPr>
      <w:bookmarkStart w:id="0" w:name="_Toc197669651"/>
      <w:bookmarkStart w:id="1" w:name="_Toc210837071"/>
      <w:bookmarkStart w:id="2" w:name="_Toc194395192"/>
      <w:r>
        <w:rPr>
          <w:rFonts w:hint="eastAsia" w:ascii="方正黑体_GBK" w:eastAsia="方正黑体_GBK"/>
          <w:sz w:val="32"/>
          <w:szCs w:val="32"/>
        </w:rPr>
        <w:t>1  总则</w:t>
      </w:r>
      <w:bookmarkEnd w:id="0"/>
      <w:bookmarkEnd w:id="1"/>
      <w:bookmarkEnd w:id="2"/>
    </w:p>
    <w:p w14:paraId="6606F7FC">
      <w:pPr>
        <w:spacing w:line="300" w:lineRule="auto"/>
        <w:ind w:firstLine="640" w:firstLineChars="200"/>
        <w:rPr>
          <w:rFonts w:hint="eastAsia" w:eastAsia="方正仿宋_GBK"/>
          <w:sz w:val="32"/>
          <w:szCs w:val="32"/>
        </w:rPr>
      </w:pPr>
      <w:bookmarkStart w:id="3" w:name="_Toc210837072"/>
      <w:bookmarkStart w:id="4" w:name="_Toc194395193"/>
      <w:bookmarkStart w:id="5" w:name="_Toc197669652"/>
      <w:r>
        <w:rPr>
          <w:rFonts w:hint="eastAsia" w:eastAsia="方正仿宋_GBK"/>
          <w:sz w:val="32"/>
          <w:szCs w:val="32"/>
        </w:rPr>
        <w:t>1.1  编制目的</w:t>
      </w:r>
      <w:bookmarkEnd w:id="3"/>
      <w:bookmarkEnd w:id="4"/>
      <w:bookmarkEnd w:id="5"/>
    </w:p>
    <w:p w14:paraId="1B72A713">
      <w:pPr>
        <w:spacing w:line="300" w:lineRule="auto"/>
        <w:ind w:firstLine="640" w:firstLineChars="200"/>
        <w:rPr>
          <w:rFonts w:hint="eastAsia" w:eastAsia="方正仿宋_GBK"/>
          <w:sz w:val="32"/>
          <w:szCs w:val="32"/>
        </w:rPr>
      </w:pPr>
      <w:r>
        <w:rPr>
          <w:rFonts w:hint="eastAsia" w:eastAsia="方正仿宋_GBK"/>
          <w:sz w:val="32"/>
          <w:szCs w:val="32"/>
        </w:rPr>
        <w:t>为有效应对新街口地铁站地下空间突发事件，建立健全新街口地铁站地下空间应急管理机制，提升快速应对和科学处置能力，及时、有序开展应急救援工作，最大限度保护人民群众生命财产安全，维护社会秩序稳定，减少突发事件带来的经济损失和社会影响，制定本预案。</w:t>
      </w:r>
    </w:p>
    <w:p w14:paraId="185A2DF1">
      <w:pPr>
        <w:spacing w:line="300" w:lineRule="auto"/>
        <w:ind w:firstLine="640" w:firstLineChars="200"/>
        <w:rPr>
          <w:rFonts w:hint="eastAsia" w:eastAsia="方正仿宋_GBK"/>
          <w:sz w:val="32"/>
          <w:szCs w:val="32"/>
        </w:rPr>
      </w:pPr>
      <w:bookmarkStart w:id="6" w:name="_Toc197669653"/>
      <w:bookmarkStart w:id="7" w:name="_Toc194395194"/>
      <w:bookmarkStart w:id="8" w:name="_Toc210837073"/>
      <w:r>
        <w:rPr>
          <w:rFonts w:hint="eastAsia" w:eastAsia="方正仿宋_GBK"/>
          <w:sz w:val="32"/>
          <w:szCs w:val="32"/>
        </w:rPr>
        <w:t>1.2  编制依据</w:t>
      </w:r>
      <w:bookmarkEnd w:id="6"/>
      <w:bookmarkEnd w:id="7"/>
      <w:bookmarkEnd w:id="8"/>
    </w:p>
    <w:p w14:paraId="5324C731">
      <w:pPr>
        <w:spacing w:line="300" w:lineRule="auto"/>
        <w:ind w:firstLine="640" w:firstLineChars="200"/>
        <w:rPr>
          <w:rFonts w:hint="eastAsia" w:eastAsia="方正仿宋_GBK"/>
          <w:sz w:val="32"/>
          <w:szCs w:val="32"/>
        </w:rPr>
      </w:pPr>
      <w:r>
        <w:rPr>
          <w:rFonts w:hint="eastAsia" w:eastAsia="方正仿宋_GBK"/>
          <w:sz w:val="32"/>
          <w:szCs w:val="32"/>
        </w:rPr>
        <w:t>依据《</w:t>
      </w:r>
      <w:bookmarkStart w:id="9" w:name="OLE_LINK1"/>
      <w:r>
        <w:rPr>
          <w:rFonts w:hint="eastAsia" w:eastAsia="方正仿宋_GBK"/>
          <w:sz w:val="32"/>
          <w:szCs w:val="32"/>
        </w:rPr>
        <w:t>中华人民共和国突发事件应对法</w:t>
      </w:r>
      <w:bookmarkEnd w:id="9"/>
      <w:r>
        <w:rPr>
          <w:rFonts w:hint="eastAsia" w:eastAsia="方正仿宋_GBK"/>
          <w:sz w:val="32"/>
          <w:szCs w:val="32"/>
        </w:rPr>
        <w:t>》《中华人民共和国安全生产法》《中华人民共和国消防法》《生产安全事故报告和调查处理条例》《</w:t>
      </w:r>
      <w:bookmarkStart w:id="10" w:name="OLE_LINK2"/>
      <w:r>
        <w:rPr>
          <w:rFonts w:hint="eastAsia" w:eastAsia="方正仿宋_GBK"/>
          <w:sz w:val="32"/>
          <w:szCs w:val="32"/>
        </w:rPr>
        <w:t>生产安全事故应急条例</w:t>
      </w:r>
      <w:bookmarkEnd w:id="10"/>
      <w:r>
        <w:rPr>
          <w:rFonts w:hint="eastAsia" w:eastAsia="方正仿宋_GBK"/>
          <w:sz w:val="32"/>
          <w:szCs w:val="32"/>
        </w:rPr>
        <w:t>》《生产安全事故应急预案管理办法》《交通运输突发事件应急管理规定》《突发事件应急预案管理办法》《城市轨道交通运营突发事件应急演练管理办法》《江苏省安全生产条例》《江苏省气象灾害防御条例》《江苏省突发事件预警信息发布管理办法》《南京市轨道交通条例》《南京市城市地下空间开发利用管理办法》《南京市突发事件预警信息发布管理办法》《交通运输综合应急预案》《江苏省突发事件总体应急预案》《江苏省处置城市轨道交通运营突发事件应急预案》《江苏省防汛抗旱应急预案》《江苏省气象灾害应急预案》《南京市突发事件总体应急预案》《南京市城市轨道交通运营突发事件应急预案》《南京市城市公共交通突发事件应急预案》《南京市防台风应急预案》《南京市主城区防汛应急预案》《南京市人员密集场所灾害应急预案（试行）》等法律、法规、规章和文件，结合新街口地铁站地下空间的实际，制定本预案。</w:t>
      </w:r>
    </w:p>
    <w:p w14:paraId="726BCD56">
      <w:pPr>
        <w:spacing w:line="300" w:lineRule="auto"/>
        <w:ind w:firstLine="640" w:firstLineChars="200"/>
        <w:rPr>
          <w:rFonts w:hint="eastAsia" w:eastAsia="方正仿宋_GBK"/>
          <w:sz w:val="32"/>
          <w:szCs w:val="32"/>
        </w:rPr>
      </w:pPr>
      <w:bookmarkStart w:id="11" w:name="_Toc194395195"/>
      <w:bookmarkStart w:id="12" w:name="_Toc210837074"/>
      <w:bookmarkStart w:id="13" w:name="_Toc197669654"/>
      <w:r>
        <w:rPr>
          <w:rFonts w:hint="eastAsia" w:eastAsia="方正仿宋_GBK"/>
          <w:sz w:val="32"/>
          <w:szCs w:val="32"/>
        </w:rPr>
        <w:t>1.3  适用范围</w:t>
      </w:r>
      <w:bookmarkEnd w:id="11"/>
      <w:bookmarkEnd w:id="12"/>
      <w:bookmarkEnd w:id="13"/>
    </w:p>
    <w:p w14:paraId="53107C68">
      <w:pPr>
        <w:spacing w:line="300" w:lineRule="auto"/>
        <w:ind w:firstLine="640" w:firstLineChars="200"/>
        <w:rPr>
          <w:rFonts w:hint="eastAsia" w:eastAsia="方正仿宋_GBK"/>
          <w:sz w:val="32"/>
          <w:szCs w:val="32"/>
        </w:rPr>
      </w:pPr>
      <w:r>
        <w:rPr>
          <w:rFonts w:hint="eastAsia" w:eastAsia="方正仿宋_GBK"/>
          <w:sz w:val="32"/>
          <w:szCs w:val="32"/>
        </w:rPr>
        <w:t>本预案与《南京市突发事件总体应急预案》相衔接，适用于南京市新街口地铁站地下空间范围内发生的突发事件预警和应急处置工作，涉及玄武、秦淮、鼓楼三个行政区。</w:t>
      </w:r>
    </w:p>
    <w:p w14:paraId="4ADB3998">
      <w:pPr>
        <w:spacing w:line="300" w:lineRule="auto"/>
        <w:ind w:firstLine="640" w:firstLineChars="200"/>
        <w:rPr>
          <w:rFonts w:hint="eastAsia" w:eastAsia="方正仿宋_GBK"/>
          <w:sz w:val="32"/>
          <w:szCs w:val="32"/>
        </w:rPr>
      </w:pPr>
      <w:r>
        <w:rPr>
          <w:rFonts w:hint="eastAsia" w:eastAsia="方正仿宋_GBK"/>
          <w:sz w:val="32"/>
          <w:szCs w:val="32"/>
        </w:rPr>
        <w:t>本预案所称突发事件，是指在新街口地铁站地下空间内突然发生的，造成人员伤亡、财产损失、站内运营中断等，需要采取应急处置措施予以应对的自然灾害、事故灾难、公共卫生事件和社会安全事件。本预案重点应对大客流人员疏散、拥挤踩踏等事件，火灾、公共卫生、社会安全等类型突发事件按市政府相关专项预案执行，或根据事件性质转入相应专项预案执行。</w:t>
      </w:r>
    </w:p>
    <w:p w14:paraId="77D22A99">
      <w:pPr>
        <w:spacing w:line="300" w:lineRule="auto"/>
        <w:ind w:firstLine="640" w:firstLineChars="200"/>
        <w:rPr>
          <w:rFonts w:hint="eastAsia" w:eastAsia="方正仿宋_GBK"/>
          <w:sz w:val="32"/>
          <w:szCs w:val="32"/>
        </w:rPr>
      </w:pPr>
      <w:r>
        <w:rPr>
          <w:rFonts w:hint="eastAsia" w:eastAsia="方正仿宋_GBK"/>
          <w:sz w:val="32"/>
          <w:szCs w:val="32"/>
        </w:rPr>
        <w:t>本预案所称新街口地铁站地下空间是指南京市新街口地铁站及其附属设施所在的地下区域，主要包括：</w:t>
      </w:r>
    </w:p>
    <w:p w14:paraId="479B31D5">
      <w:pPr>
        <w:spacing w:line="300" w:lineRule="auto"/>
        <w:ind w:firstLine="640" w:firstLineChars="200"/>
        <w:rPr>
          <w:rFonts w:hint="eastAsia" w:eastAsia="方正仿宋_GBK"/>
          <w:sz w:val="32"/>
          <w:szCs w:val="32"/>
        </w:rPr>
      </w:pPr>
      <w:r>
        <w:rPr>
          <w:rFonts w:hint="eastAsia" w:eastAsia="方正仿宋_GBK"/>
          <w:sz w:val="32"/>
          <w:szCs w:val="32"/>
        </w:rPr>
        <w:t>（1）站厅层：闸机内付费区、闸机外非付费区；</w:t>
      </w:r>
    </w:p>
    <w:p w14:paraId="0E018E2C">
      <w:pPr>
        <w:spacing w:line="300" w:lineRule="auto"/>
        <w:ind w:firstLine="640" w:firstLineChars="200"/>
        <w:rPr>
          <w:rFonts w:hint="eastAsia" w:eastAsia="方正仿宋_GBK"/>
          <w:sz w:val="32"/>
          <w:szCs w:val="32"/>
        </w:rPr>
      </w:pPr>
      <w:r>
        <w:rPr>
          <w:rFonts w:hint="eastAsia" w:eastAsia="方正仿宋_GBK"/>
          <w:sz w:val="32"/>
          <w:szCs w:val="32"/>
        </w:rPr>
        <w:t>（2）站台层：1号线新街口站与2号线新街口站各站台候车区域；</w:t>
      </w:r>
    </w:p>
    <w:p w14:paraId="4EF9FF88">
      <w:pPr>
        <w:spacing w:line="300" w:lineRule="auto"/>
        <w:ind w:firstLine="640" w:firstLineChars="200"/>
        <w:rPr>
          <w:rFonts w:hint="eastAsia" w:eastAsia="方正仿宋_GBK"/>
          <w:sz w:val="32"/>
          <w:szCs w:val="32"/>
        </w:rPr>
      </w:pPr>
      <w:r>
        <w:rPr>
          <w:rFonts w:hint="eastAsia" w:eastAsia="方正仿宋_GBK"/>
          <w:sz w:val="32"/>
          <w:szCs w:val="32"/>
        </w:rPr>
        <w:t>（3）地铁权属连接通道：换乘通道、站厅与站台连接通道、不同出入口之间的走廊、与周边建筑接口的防火门内侧预埋区域；</w:t>
      </w:r>
    </w:p>
    <w:p w14:paraId="39774CEC">
      <w:pPr>
        <w:spacing w:line="300" w:lineRule="auto"/>
        <w:ind w:firstLine="640" w:firstLineChars="200"/>
        <w:rPr>
          <w:rFonts w:hint="eastAsia" w:eastAsia="方正仿宋_GBK"/>
          <w:sz w:val="32"/>
          <w:szCs w:val="32"/>
        </w:rPr>
      </w:pPr>
      <w:r>
        <w:rPr>
          <w:rFonts w:hint="eastAsia" w:eastAsia="方正仿宋_GBK"/>
          <w:sz w:val="32"/>
          <w:szCs w:val="32"/>
        </w:rPr>
        <w:t>（4）附属设施：地铁权属范围内地下商业等。</w:t>
      </w:r>
    </w:p>
    <w:p w14:paraId="38B04646">
      <w:pPr>
        <w:spacing w:line="300" w:lineRule="auto"/>
        <w:ind w:firstLine="640" w:firstLineChars="200"/>
        <w:rPr>
          <w:rFonts w:hint="eastAsia" w:eastAsia="方正仿宋_GBK"/>
          <w:sz w:val="32"/>
          <w:szCs w:val="32"/>
        </w:rPr>
      </w:pPr>
      <w:r>
        <w:rPr>
          <w:rFonts w:hint="eastAsia" w:eastAsia="方正仿宋_GBK"/>
          <w:sz w:val="32"/>
          <w:szCs w:val="32"/>
        </w:rPr>
        <w:t>不包括地铁轨行区、地铁权属出入口范围外的商业经营区、与地铁连通但由物业管理的设备用房、写字楼地下室等（新街口地铁站地下空间范围详见附件9.4）。</w:t>
      </w:r>
    </w:p>
    <w:p w14:paraId="24F774ED">
      <w:pPr>
        <w:spacing w:line="300" w:lineRule="auto"/>
        <w:ind w:firstLine="640" w:firstLineChars="200"/>
        <w:rPr>
          <w:rFonts w:hint="eastAsia" w:eastAsia="方正仿宋_GBK"/>
          <w:sz w:val="32"/>
          <w:szCs w:val="32"/>
        </w:rPr>
      </w:pPr>
      <w:bookmarkStart w:id="14" w:name="_Toc210837075"/>
      <w:bookmarkStart w:id="15" w:name="_Toc194395196"/>
      <w:bookmarkStart w:id="16" w:name="_Toc197669655"/>
      <w:r>
        <w:rPr>
          <w:rFonts w:hint="eastAsia" w:eastAsia="方正仿宋_GBK"/>
          <w:sz w:val="32"/>
          <w:szCs w:val="32"/>
        </w:rPr>
        <w:t>1.4  风险分析</w:t>
      </w:r>
      <w:bookmarkEnd w:id="14"/>
      <w:bookmarkEnd w:id="15"/>
      <w:bookmarkEnd w:id="16"/>
    </w:p>
    <w:p w14:paraId="3172073B">
      <w:pPr>
        <w:spacing w:line="300" w:lineRule="auto"/>
        <w:ind w:firstLine="640" w:firstLineChars="200"/>
        <w:rPr>
          <w:rFonts w:hint="eastAsia" w:eastAsia="方正仿宋_GBK"/>
          <w:sz w:val="32"/>
          <w:szCs w:val="32"/>
        </w:rPr>
      </w:pPr>
      <w:r>
        <w:rPr>
          <w:rFonts w:hint="eastAsia" w:eastAsia="方正仿宋_GBK"/>
          <w:sz w:val="32"/>
          <w:szCs w:val="32"/>
        </w:rPr>
        <w:t>新街口地铁站是南京地铁1、2号线的换乘站，位于汉中路、中山东路、中山南路、中山路交汇处，也是玄武、秦淮、鼓楼三区所辖交汇处，建筑面积达7.6万平方米。新街口地铁站共22个出入口，目前已开通20个出入口（19号出入口和23号出入口已封闭），其中6号出入口位于鼓楼区，7号出入口位于玄武区，其他出入口及通道均位于秦淮区，与周边商圈的德基广场、中央商场、新百、金鹰、大洋、东方福来德等多家商业综合体连通，形成“站城一体化”布局。</w:t>
      </w:r>
    </w:p>
    <w:p w14:paraId="481766B7">
      <w:pPr>
        <w:spacing w:line="300" w:lineRule="auto"/>
        <w:ind w:firstLine="640" w:firstLineChars="200"/>
        <w:rPr>
          <w:rFonts w:hint="eastAsia" w:eastAsia="方正仿宋_GBK"/>
          <w:sz w:val="32"/>
          <w:szCs w:val="32"/>
        </w:rPr>
      </w:pPr>
      <w:r>
        <w:rPr>
          <w:rFonts w:hint="eastAsia" w:eastAsia="方正仿宋_GBK"/>
          <w:sz w:val="32"/>
          <w:szCs w:val="32"/>
        </w:rPr>
        <w:t>经测算，新街口地铁站日均进出站客流达18万人次，单日最高客流达53.5万人次，具有人员流动密度高、环境构成复杂等特点，易发生涉及公共安全、运营安全等方面的突发事件。基于新街口地铁站地下空间的突发事件历史数据，其面临的主要风险包括：</w:t>
      </w:r>
    </w:p>
    <w:p w14:paraId="33EDB4FF">
      <w:pPr>
        <w:spacing w:line="300" w:lineRule="auto"/>
        <w:ind w:firstLine="640" w:firstLineChars="200"/>
        <w:rPr>
          <w:rFonts w:hint="eastAsia" w:eastAsia="方正仿宋_GBK"/>
          <w:sz w:val="32"/>
          <w:szCs w:val="32"/>
        </w:rPr>
      </w:pPr>
      <w:bookmarkStart w:id="17" w:name="_Hlk203330578"/>
      <w:r>
        <w:rPr>
          <w:rFonts w:hint="eastAsia" w:eastAsia="方正仿宋_GBK"/>
          <w:sz w:val="32"/>
          <w:szCs w:val="32"/>
        </w:rPr>
        <w:t>（1）大客流风险。新街口地铁站作为1号线与2号线交汇的换乘枢纽站，叠加大型商业圈和区域重要交通枢纽功能，在节假日、通勤高峰、大型活动或运行线路突发停运等情形下易出现站厅、出入口、换乘通道及商业衔接区域人员聚集，形成乘客滞留，若未及时疏导，可能引发秩序混乱、运行受阻等问题，在极端情况下，可能因现场失控、恐慌等诱因引发拥挤踩踏，造成人员伤亡。此外，当1号线或2号线其他站点突发停运时，大量受影响的乘客可能选择在新街口站换乘，或因线路中断而滞留于该站，导致站内客流急剧增加，引发站厅、站台、换乘通道的严重拥堵，增加人群踩踏和群体性事件风险。</w:t>
      </w:r>
    </w:p>
    <w:bookmarkEnd w:id="17"/>
    <w:p w14:paraId="35474867">
      <w:pPr>
        <w:spacing w:line="300" w:lineRule="auto"/>
        <w:ind w:firstLine="640" w:firstLineChars="200"/>
        <w:rPr>
          <w:rFonts w:hint="eastAsia" w:eastAsia="方正仿宋_GBK"/>
          <w:sz w:val="32"/>
          <w:szCs w:val="32"/>
        </w:rPr>
      </w:pPr>
      <w:r>
        <w:rPr>
          <w:rFonts w:hint="eastAsia" w:eastAsia="方正仿宋_GBK"/>
          <w:sz w:val="32"/>
          <w:szCs w:val="32"/>
        </w:rPr>
        <w:t>（2）车站火灾风险。地下空间具有相对封闭特性，且存在人行通道交错、商业店铺集中、连通地上商业体等复杂布局，与地上空间交通及连接方式受限，在运营过程中，因施工作业、设备设施老化故障或人员违规操作等可能引发火灾，同时高温烟气扩散会显著增加人员疏散难度。</w:t>
      </w:r>
    </w:p>
    <w:p w14:paraId="6AF429B1">
      <w:pPr>
        <w:spacing w:line="300" w:lineRule="auto"/>
        <w:ind w:firstLine="640" w:firstLineChars="200"/>
        <w:rPr>
          <w:rFonts w:hint="eastAsia" w:eastAsia="方正仿宋_GBK"/>
          <w:sz w:val="32"/>
          <w:szCs w:val="32"/>
        </w:rPr>
      </w:pPr>
      <w:r>
        <w:rPr>
          <w:rFonts w:hint="eastAsia" w:eastAsia="方正仿宋_GBK"/>
          <w:sz w:val="32"/>
          <w:szCs w:val="32"/>
        </w:rPr>
        <w:t>（3）地下空间内涝风险。本市汛期容易出现暴雨灾害天气，地铁站地下空间由于特殊的工程位置和结构形式存在积水内涝风险，当排水系统负荷超限或设备故障时，可能导致站厅层、站台层、连接通道等区域淹水倒灌。</w:t>
      </w:r>
    </w:p>
    <w:p w14:paraId="45C00ED8">
      <w:pPr>
        <w:spacing w:line="300" w:lineRule="auto"/>
        <w:ind w:firstLine="640" w:firstLineChars="200"/>
        <w:rPr>
          <w:rFonts w:hint="eastAsia" w:eastAsia="方正仿宋_GBK"/>
          <w:sz w:val="32"/>
          <w:szCs w:val="32"/>
        </w:rPr>
      </w:pPr>
      <w:r>
        <w:rPr>
          <w:rFonts w:hint="eastAsia" w:eastAsia="方正仿宋_GBK"/>
          <w:sz w:val="32"/>
          <w:szCs w:val="32"/>
        </w:rPr>
        <w:t>（4）结构病害风险。新街口地铁站1号线车站主体工程于2003年竣工，2号线车站主体工程于2009年竣工，部分区域因地下结构建成年代较早、长期荷载作用及维护保养不到位，可能出现开裂、腐蚀、不均匀沉降等潜在病害，影响结构安全与正常运营。</w:t>
      </w:r>
    </w:p>
    <w:p w14:paraId="0708FB0B">
      <w:pPr>
        <w:spacing w:line="300" w:lineRule="auto"/>
        <w:ind w:firstLine="640" w:firstLineChars="200"/>
        <w:rPr>
          <w:rFonts w:hint="eastAsia" w:eastAsia="方正仿宋_GBK"/>
          <w:sz w:val="32"/>
          <w:szCs w:val="32"/>
        </w:rPr>
      </w:pPr>
      <w:r>
        <w:rPr>
          <w:rFonts w:hint="eastAsia" w:eastAsia="方正仿宋_GBK"/>
          <w:sz w:val="32"/>
          <w:szCs w:val="32"/>
        </w:rPr>
        <w:t>（5）反恐治安风险。新街口地铁站地下空间因日均客流量大、社会环境较为开放等特点，面临复杂的公共安全形势，存在群体性滋事、个人极端行为、暴力袭击等破坏公共秩序的安全风险。</w:t>
      </w:r>
    </w:p>
    <w:p w14:paraId="77674966">
      <w:pPr>
        <w:spacing w:line="300" w:lineRule="auto"/>
        <w:ind w:firstLine="640" w:firstLineChars="200"/>
        <w:rPr>
          <w:rFonts w:hint="eastAsia" w:eastAsia="方正仿宋_GBK"/>
          <w:sz w:val="32"/>
          <w:szCs w:val="32"/>
        </w:rPr>
      </w:pPr>
      <w:r>
        <w:rPr>
          <w:rFonts w:hint="eastAsia" w:eastAsia="方正仿宋_GBK"/>
          <w:sz w:val="32"/>
          <w:szCs w:val="32"/>
        </w:rPr>
        <w:t>（6）公共卫生风险。新街口地铁站地下空间人员密集、流动性大，在运营过程中，可能因呼吸道传染病、肠道传染病或其他不明原因群体性疾病的发生与蔓延，对公众健康造成威胁，并可能引发恐慌情绪，影响地铁的正常运营秩序和社会稳定。</w:t>
      </w:r>
    </w:p>
    <w:p w14:paraId="78C9AE5F">
      <w:pPr>
        <w:spacing w:line="300" w:lineRule="auto"/>
        <w:ind w:firstLine="640" w:firstLineChars="200"/>
        <w:rPr>
          <w:rFonts w:hint="eastAsia" w:eastAsia="方正仿宋_GBK"/>
          <w:sz w:val="32"/>
          <w:szCs w:val="32"/>
        </w:rPr>
      </w:pPr>
      <w:bookmarkStart w:id="18" w:name="_Toc194395197"/>
      <w:bookmarkStart w:id="19" w:name="_Toc197669656"/>
      <w:bookmarkStart w:id="20" w:name="_Toc210837076"/>
      <w:r>
        <w:rPr>
          <w:rFonts w:hint="eastAsia" w:eastAsia="方正仿宋_GBK"/>
          <w:sz w:val="32"/>
          <w:szCs w:val="32"/>
        </w:rPr>
        <w:t>1.5  突发事件分类分级</w:t>
      </w:r>
      <w:bookmarkEnd w:id="18"/>
      <w:bookmarkEnd w:id="19"/>
      <w:bookmarkEnd w:id="20"/>
    </w:p>
    <w:p w14:paraId="1D9FCD81">
      <w:pPr>
        <w:spacing w:line="300" w:lineRule="auto"/>
        <w:ind w:firstLine="640" w:firstLineChars="200"/>
        <w:rPr>
          <w:rFonts w:hint="eastAsia" w:eastAsia="方正仿宋_GBK"/>
          <w:sz w:val="32"/>
          <w:szCs w:val="32"/>
        </w:rPr>
      </w:pPr>
      <w:bookmarkStart w:id="21" w:name="_Toc210837077"/>
      <w:bookmarkStart w:id="22" w:name="_Toc194395198"/>
      <w:bookmarkStart w:id="23" w:name="_Toc197669657"/>
      <w:bookmarkStart w:id="24" w:name="_Toc194395505"/>
      <w:r>
        <w:rPr>
          <w:rFonts w:hint="eastAsia" w:eastAsia="方正仿宋_GBK"/>
          <w:sz w:val="32"/>
          <w:szCs w:val="32"/>
        </w:rPr>
        <w:t>1.5.1  突发事件分类</w:t>
      </w:r>
      <w:bookmarkEnd w:id="21"/>
      <w:bookmarkEnd w:id="22"/>
      <w:bookmarkEnd w:id="23"/>
      <w:bookmarkEnd w:id="24"/>
    </w:p>
    <w:p w14:paraId="2BBF5C99">
      <w:pPr>
        <w:spacing w:line="300" w:lineRule="auto"/>
        <w:ind w:firstLine="640" w:firstLineChars="200"/>
        <w:rPr>
          <w:rFonts w:hint="eastAsia" w:eastAsia="方正仿宋_GBK"/>
          <w:sz w:val="32"/>
          <w:szCs w:val="32"/>
        </w:rPr>
      </w:pPr>
      <w:r>
        <w:rPr>
          <w:rFonts w:hint="eastAsia" w:eastAsia="方正仿宋_GBK"/>
          <w:sz w:val="32"/>
          <w:szCs w:val="32"/>
        </w:rPr>
        <w:t>结合风险分析结果，本预案中新街口地铁站地下空间突发事件包含以下情形：</w:t>
      </w:r>
    </w:p>
    <w:p w14:paraId="48D72176">
      <w:pPr>
        <w:spacing w:line="300" w:lineRule="auto"/>
        <w:ind w:firstLine="640" w:firstLineChars="200"/>
        <w:rPr>
          <w:rFonts w:hint="eastAsia" w:eastAsia="方正仿宋_GBK"/>
          <w:sz w:val="32"/>
          <w:szCs w:val="32"/>
        </w:rPr>
      </w:pPr>
      <w:r>
        <w:rPr>
          <w:rFonts w:hint="eastAsia" w:eastAsia="方正仿宋_GBK"/>
          <w:sz w:val="32"/>
          <w:szCs w:val="32"/>
        </w:rPr>
        <w:t>（1）自然灾害：因暴雨洪涝、地震灾害、地质灾害等引起新街口地铁站地下空间淹没、积水、地裂、坍塌等情况。</w:t>
      </w:r>
    </w:p>
    <w:p w14:paraId="5ED21066">
      <w:pPr>
        <w:spacing w:line="300" w:lineRule="auto"/>
        <w:ind w:firstLine="640" w:firstLineChars="200"/>
        <w:rPr>
          <w:rFonts w:hint="eastAsia" w:eastAsia="方正仿宋_GBK"/>
          <w:sz w:val="32"/>
          <w:szCs w:val="32"/>
        </w:rPr>
      </w:pPr>
      <w:r>
        <w:rPr>
          <w:rFonts w:hint="eastAsia" w:eastAsia="方正仿宋_GBK"/>
          <w:sz w:val="32"/>
          <w:szCs w:val="32"/>
        </w:rPr>
        <w:t>（2）事故灾难事件：包括列车运营事故、火灾爆炸、站台门夹人夹物、大面积停电、特种设备突发事件等。</w:t>
      </w:r>
    </w:p>
    <w:p w14:paraId="5191C32C">
      <w:pPr>
        <w:spacing w:line="300" w:lineRule="auto"/>
        <w:ind w:firstLine="640" w:firstLineChars="200"/>
        <w:rPr>
          <w:rFonts w:hint="eastAsia" w:eastAsia="方正仿宋_GBK"/>
          <w:sz w:val="32"/>
          <w:szCs w:val="32"/>
        </w:rPr>
      </w:pPr>
      <w:r>
        <w:rPr>
          <w:rFonts w:hint="eastAsia" w:eastAsia="方正仿宋_GBK"/>
          <w:sz w:val="32"/>
          <w:szCs w:val="32"/>
        </w:rPr>
        <w:t>（3）社会安全事件：包括群体性事件、拥挤踩踏、恐怖袭击事件、突发大客流等影响社会安全的事件。</w:t>
      </w:r>
    </w:p>
    <w:p w14:paraId="18671F0E">
      <w:pPr>
        <w:spacing w:line="300" w:lineRule="auto"/>
        <w:ind w:firstLine="640" w:firstLineChars="200"/>
        <w:rPr>
          <w:rFonts w:hint="eastAsia" w:eastAsia="方正仿宋_GBK"/>
          <w:sz w:val="32"/>
          <w:szCs w:val="32"/>
        </w:rPr>
      </w:pPr>
      <w:r>
        <w:rPr>
          <w:rFonts w:hint="eastAsia" w:eastAsia="方正仿宋_GBK"/>
          <w:sz w:val="32"/>
          <w:szCs w:val="32"/>
        </w:rPr>
        <w:t>（4）公共卫生事件：包括传染病疫情、群体性不明原因疾病以及其他严重影响公众健康和生命安全的事件。</w:t>
      </w:r>
    </w:p>
    <w:p w14:paraId="0605D0C3">
      <w:pPr>
        <w:spacing w:line="300" w:lineRule="auto"/>
        <w:ind w:firstLine="640" w:firstLineChars="200"/>
        <w:rPr>
          <w:rFonts w:hint="eastAsia" w:eastAsia="方正仿宋_GBK"/>
          <w:sz w:val="32"/>
          <w:szCs w:val="32"/>
        </w:rPr>
      </w:pPr>
      <w:bookmarkStart w:id="25" w:name="_Toc197669658"/>
      <w:bookmarkStart w:id="26" w:name="_Toc194395506"/>
      <w:bookmarkStart w:id="27" w:name="_Toc210837078"/>
      <w:bookmarkStart w:id="28" w:name="_Toc194395199"/>
      <w:r>
        <w:rPr>
          <w:rFonts w:hint="eastAsia" w:eastAsia="方正仿宋_GBK"/>
          <w:sz w:val="32"/>
          <w:szCs w:val="32"/>
        </w:rPr>
        <w:t>1.5.2  突发事件分级</w:t>
      </w:r>
      <w:bookmarkEnd w:id="25"/>
      <w:bookmarkEnd w:id="26"/>
      <w:bookmarkEnd w:id="27"/>
      <w:bookmarkEnd w:id="28"/>
    </w:p>
    <w:p w14:paraId="77F200CB">
      <w:pPr>
        <w:spacing w:line="300" w:lineRule="auto"/>
        <w:ind w:firstLine="640" w:firstLineChars="200"/>
        <w:rPr>
          <w:rFonts w:hint="eastAsia" w:eastAsia="方正仿宋_GBK"/>
          <w:sz w:val="32"/>
          <w:szCs w:val="32"/>
        </w:rPr>
      </w:pPr>
      <w:r>
        <w:rPr>
          <w:rFonts w:hint="eastAsia" w:eastAsia="方正仿宋_GBK"/>
          <w:sz w:val="32"/>
          <w:szCs w:val="32"/>
        </w:rPr>
        <w:t>按照突发事件性质、严重程度、可控性和影响范围等因素，依次分为：特别重大突发事件、重大突发事件、较大突发事件和一般突发事件。</w:t>
      </w:r>
    </w:p>
    <w:p w14:paraId="6798802A">
      <w:pPr>
        <w:spacing w:line="300" w:lineRule="auto"/>
        <w:ind w:firstLine="640" w:firstLineChars="200"/>
        <w:rPr>
          <w:rFonts w:hint="eastAsia" w:eastAsia="方正仿宋_GBK"/>
          <w:sz w:val="32"/>
          <w:szCs w:val="32"/>
        </w:rPr>
      </w:pPr>
      <w:bookmarkStart w:id="29" w:name="_Hlk201073348"/>
      <w:r>
        <w:rPr>
          <w:rFonts w:hint="eastAsia" w:eastAsia="方正仿宋_GBK"/>
          <w:sz w:val="32"/>
          <w:szCs w:val="32"/>
        </w:rPr>
        <w:t>有下列情形之一的，为特别重大突发事件：</w:t>
      </w:r>
    </w:p>
    <w:p w14:paraId="40715E80">
      <w:pPr>
        <w:spacing w:line="300" w:lineRule="auto"/>
        <w:ind w:firstLine="640" w:firstLineChars="200"/>
        <w:rPr>
          <w:rFonts w:hint="eastAsia" w:eastAsia="方正仿宋_GBK"/>
          <w:sz w:val="32"/>
          <w:szCs w:val="32"/>
        </w:rPr>
      </w:pPr>
      <w:r>
        <w:rPr>
          <w:rFonts w:hint="eastAsia" w:eastAsia="方正仿宋_GBK"/>
          <w:sz w:val="32"/>
          <w:szCs w:val="32"/>
        </w:rPr>
        <w:t>（1）造成30人以上死亡，或者100人以上重伤，或者1亿元以上直接经济损失；</w:t>
      </w:r>
    </w:p>
    <w:p w14:paraId="33BD0959">
      <w:pPr>
        <w:spacing w:line="300" w:lineRule="auto"/>
        <w:ind w:firstLine="640" w:firstLineChars="200"/>
        <w:rPr>
          <w:rFonts w:hint="eastAsia" w:eastAsia="方正仿宋_GBK"/>
          <w:sz w:val="32"/>
          <w:szCs w:val="32"/>
        </w:rPr>
      </w:pPr>
      <w:r>
        <w:rPr>
          <w:rFonts w:hint="eastAsia" w:eastAsia="方正仿宋_GBK"/>
          <w:sz w:val="32"/>
          <w:szCs w:val="32"/>
        </w:rPr>
        <w:t>（2）需要疏散的实时人群密度达到每平方米6—7人；</w:t>
      </w:r>
    </w:p>
    <w:p w14:paraId="0E8425FC">
      <w:pPr>
        <w:spacing w:line="300" w:lineRule="auto"/>
        <w:ind w:firstLine="640" w:firstLineChars="200"/>
        <w:rPr>
          <w:rFonts w:hint="eastAsia" w:eastAsia="方正仿宋_GBK"/>
          <w:sz w:val="32"/>
          <w:szCs w:val="32"/>
        </w:rPr>
      </w:pPr>
      <w:r>
        <w:rPr>
          <w:rFonts w:hint="eastAsia" w:eastAsia="方正仿宋_GBK"/>
          <w:sz w:val="32"/>
          <w:szCs w:val="32"/>
        </w:rPr>
        <w:t>（3）其他可能造成特别重大危害或社会影响的。</w:t>
      </w:r>
    </w:p>
    <w:p w14:paraId="55501C6C">
      <w:pPr>
        <w:spacing w:line="300" w:lineRule="auto"/>
        <w:ind w:firstLine="640" w:firstLineChars="200"/>
        <w:rPr>
          <w:rFonts w:hint="eastAsia" w:eastAsia="方正仿宋_GBK"/>
          <w:sz w:val="32"/>
          <w:szCs w:val="32"/>
        </w:rPr>
      </w:pPr>
      <w:r>
        <w:rPr>
          <w:rFonts w:hint="eastAsia" w:eastAsia="方正仿宋_GBK"/>
          <w:sz w:val="32"/>
          <w:szCs w:val="32"/>
        </w:rPr>
        <w:t>有下列情形之一的，为重大突发事件：</w:t>
      </w:r>
    </w:p>
    <w:p w14:paraId="7D18858E">
      <w:pPr>
        <w:spacing w:line="300" w:lineRule="auto"/>
        <w:ind w:firstLine="640" w:firstLineChars="200"/>
        <w:rPr>
          <w:rFonts w:hint="eastAsia" w:eastAsia="方正仿宋_GBK"/>
          <w:sz w:val="32"/>
          <w:szCs w:val="32"/>
        </w:rPr>
      </w:pPr>
      <w:r>
        <w:rPr>
          <w:rFonts w:hint="eastAsia" w:eastAsia="方正仿宋_GBK"/>
          <w:sz w:val="32"/>
          <w:szCs w:val="32"/>
        </w:rPr>
        <w:t>（1）造成10人以上30人以下死亡，或者50人以上100人以下重伤，或者5000万元以上1亿元以下直接经济损失；</w:t>
      </w:r>
    </w:p>
    <w:p w14:paraId="36BAA6C5">
      <w:pPr>
        <w:spacing w:line="300" w:lineRule="auto"/>
        <w:ind w:firstLine="640" w:firstLineChars="200"/>
        <w:rPr>
          <w:rFonts w:hint="eastAsia" w:eastAsia="方正仿宋_GBK"/>
          <w:sz w:val="32"/>
          <w:szCs w:val="32"/>
        </w:rPr>
      </w:pPr>
      <w:r>
        <w:rPr>
          <w:rFonts w:hint="eastAsia" w:eastAsia="方正仿宋_GBK"/>
          <w:sz w:val="32"/>
          <w:szCs w:val="32"/>
        </w:rPr>
        <w:t>（2）导致地铁交通线路连续中断行车24小时以上；</w:t>
      </w:r>
    </w:p>
    <w:p w14:paraId="59337FBD">
      <w:pPr>
        <w:spacing w:line="300" w:lineRule="auto"/>
        <w:ind w:firstLine="640" w:firstLineChars="200"/>
        <w:rPr>
          <w:rFonts w:hint="eastAsia" w:eastAsia="方正仿宋_GBK"/>
          <w:sz w:val="32"/>
          <w:szCs w:val="32"/>
        </w:rPr>
      </w:pPr>
      <w:r>
        <w:rPr>
          <w:rFonts w:hint="eastAsia" w:eastAsia="方正仿宋_GBK"/>
          <w:sz w:val="32"/>
          <w:szCs w:val="32"/>
        </w:rPr>
        <w:t>（3）需要疏散的实时人群密度达到每平方米4—5人；</w:t>
      </w:r>
    </w:p>
    <w:p w14:paraId="6ADA9E8C">
      <w:pPr>
        <w:spacing w:line="300" w:lineRule="auto"/>
        <w:ind w:firstLine="640" w:firstLineChars="200"/>
        <w:rPr>
          <w:rFonts w:hint="eastAsia" w:eastAsia="方正仿宋_GBK"/>
          <w:sz w:val="32"/>
          <w:szCs w:val="32"/>
        </w:rPr>
      </w:pPr>
      <w:r>
        <w:rPr>
          <w:rFonts w:hint="eastAsia" w:eastAsia="方正仿宋_GBK"/>
          <w:sz w:val="32"/>
          <w:szCs w:val="32"/>
        </w:rPr>
        <w:t>（4）其他可能造成重大危害或社会影响的。</w:t>
      </w:r>
    </w:p>
    <w:p w14:paraId="2A41E2F7">
      <w:pPr>
        <w:spacing w:line="300" w:lineRule="auto"/>
        <w:ind w:firstLine="640" w:firstLineChars="200"/>
        <w:rPr>
          <w:rFonts w:hint="eastAsia" w:eastAsia="方正仿宋_GBK"/>
          <w:sz w:val="32"/>
          <w:szCs w:val="32"/>
        </w:rPr>
      </w:pPr>
      <w:r>
        <w:rPr>
          <w:rFonts w:hint="eastAsia" w:eastAsia="方正仿宋_GBK"/>
          <w:sz w:val="32"/>
          <w:szCs w:val="32"/>
        </w:rPr>
        <w:t>有下列情形之一的，为较大突发事件：</w:t>
      </w:r>
    </w:p>
    <w:p w14:paraId="4049395E">
      <w:pPr>
        <w:spacing w:line="300" w:lineRule="auto"/>
        <w:ind w:firstLine="640" w:firstLineChars="200"/>
        <w:rPr>
          <w:rFonts w:hint="eastAsia" w:eastAsia="方正仿宋_GBK"/>
          <w:sz w:val="32"/>
          <w:szCs w:val="32"/>
        </w:rPr>
      </w:pPr>
      <w:r>
        <w:rPr>
          <w:rFonts w:hint="eastAsia" w:eastAsia="方正仿宋_GBK"/>
          <w:sz w:val="32"/>
          <w:szCs w:val="32"/>
        </w:rPr>
        <w:t>（1）造成3人以上10人以下死亡，或者10人以上50人以下重伤，或者1000万元以上5000万元以下直接经济损失；</w:t>
      </w:r>
    </w:p>
    <w:p w14:paraId="1CD8367F">
      <w:pPr>
        <w:spacing w:line="300" w:lineRule="auto"/>
        <w:ind w:firstLine="640" w:firstLineChars="200"/>
        <w:rPr>
          <w:rFonts w:hint="eastAsia" w:eastAsia="方正仿宋_GBK"/>
          <w:sz w:val="32"/>
          <w:szCs w:val="32"/>
        </w:rPr>
      </w:pPr>
      <w:r>
        <w:rPr>
          <w:rFonts w:hint="eastAsia" w:eastAsia="方正仿宋_GBK"/>
          <w:sz w:val="32"/>
          <w:szCs w:val="32"/>
        </w:rPr>
        <w:t>（2）导致地铁交通线路连续中断行车6小时以上，24小时以下；</w:t>
      </w:r>
    </w:p>
    <w:p w14:paraId="54077ACA">
      <w:pPr>
        <w:spacing w:line="300" w:lineRule="auto"/>
        <w:ind w:firstLine="640" w:firstLineChars="200"/>
        <w:rPr>
          <w:rFonts w:hint="eastAsia" w:eastAsia="方正仿宋_GBK"/>
          <w:sz w:val="32"/>
          <w:szCs w:val="32"/>
        </w:rPr>
      </w:pPr>
      <w:r>
        <w:rPr>
          <w:rFonts w:hint="eastAsia" w:eastAsia="方正仿宋_GBK"/>
          <w:sz w:val="32"/>
          <w:szCs w:val="32"/>
        </w:rPr>
        <w:t>（3）需要疏散的实时人群密度达到每平方米2—3人；</w:t>
      </w:r>
    </w:p>
    <w:p w14:paraId="1213747E">
      <w:pPr>
        <w:spacing w:line="300" w:lineRule="auto"/>
        <w:ind w:firstLine="640" w:firstLineChars="200"/>
        <w:rPr>
          <w:rFonts w:hint="eastAsia" w:eastAsia="方正仿宋_GBK"/>
          <w:sz w:val="32"/>
          <w:szCs w:val="32"/>
        </w:rPr>
      </w:pPr>
      <w:r>
        <w:rPr>
          <w:rFonts w:hint="eastAsia" w:eastAsia="方正仿宋_GBK"/>
          <w:sz w:val="32"/>
          <w:szCs w:val="32"/>
        </w:rPr>
        <w:t>（4）其他可能造成较大危害或社会影响的。</w:t>
      </w:r>
    </w:p>
    <w:p w14:paraId="32D8821C">
      <w:pPr>
        <w:spacing w:line="300" w:lineRule="auto"/>
        <w:ind w:firstLine="640" w:firstLineChars="200"/>
        <w:rPr>
          <w:rFonts w:hint="eastAsia" w:eastAsia="方正仿宋_GBK"/>
          <w:sz w:val="32"/>
          <w:szCs w:val="32"/>
        </w:rPr>
      </w:pPr>
      <w:r>
        <w:rPr>
          <w:rFonts w:hint="eastAsia" w:eastAsia="方正仿宋_GBK"/>
          <w:sz w:val="32"/>
          <w:szCs w:val="32"/>
        </w:rPr>
        <w:t>有下列情形之一的，为一般突发事件：</w:t>
      </w:r>
    </w:p>
    <w:p w14:paraId="08D0B2C0">
      <w:pPr>
        <w:spacing w:line="300" w:lineRule="auto"/>
        <w:ind w:firstLine="640" w:firstLineChars="200"/>
        <w:rPr>
          <w:rFonts w:hint="eastAsia" w:eastAsia="方正仿宋_GBK"/>
          <w:sz w:val="32"/>
          <w:szCs w:val="32"/>
        </w:rPr>
      </w:pPr>
      <w:r>
        <w:rPr>
          <w:rFonts w:hint="eastAsia" w:eastAsia="方正仿宋_GBK"/>
          <w:sz w:val="32"/>
          <w:szCs w:val="32"/>
        </w:rPr>
        <w:t>（1）造成3人以下死亡，或者10人以下重伤，或者1000万元以下直接经济损失；</w:t>
      </w:r>
    </w:p>
    <w:p w14:paraId="372EA4DC">
      <w:pPr>
        <w:spacing w:line="300" w:lineRule="auto"/>
        <w:ind w:firstLine="640" w:firstLineChars="200"/>
        <w:rPr>
          <w:rFonts w:hint="eastAsia" w:eastAsia="方正仿宋_GBK"/>
          <w:sz w:val="32"/>
          <w:szCs w:val="32"/>
        </w:rPr>
      </w:pPr>
      <w:r>
        <w:rPr>
          <w:rFonts w:hint="eastAsia" w:eastAsia="方正仿宋_GBK"/>
          <w:sz w:val="32"/>
          <w:szCs w:val="32"/>
        </w:rPr>
        <w:t>（2）导致地铁交通线路连续中断行车2小时以上，6小时以下；</w:t>
      </w:r>
    </w:p>
    <w:p w14:paraId="04D44A4E">
      <w:pPr>
        <w:spacing w:line="300" w:lineRule="auto"/>
        <w:ind w:firstLine="640" w:firstLineChars="200"/>
        <w:rPr>
          <w:rFonts w:hint="eastAsia" w:eastAsia="方正仿宋_GBK"/>
          <w:sz w:val="32"/>
          <w:szCs w:val="32"/>
        </w:rPr>
      </w:pPr>
      <w:r>
        <w:rPr>
          <w:rFonts w:hint="eastAsia" w:eastAsia="方正仿宋_GBK"/>
          <w:sz w:val="32"/>
          <w:szCs w:val="32"/>
        </w:rPr>
        <w:t>（3）需要疏散的实时人群密度达到每平方米1人；</w:t>
      </w:r>
    </w:p>
    <w:p w14:paraId="5F18EEEB">
      <w:pPr>
        <w:spacing w:line="300" w:lineRule="auto"/>
        <w:ind w:firstLine="640" w:firstLineChars="200"/>
        <w:rPr>
          <w:rFonts w:hint="eastAsia" w:eastAsia="方正仿宋_GBK"/>
          <w:sz w:val="32"/>
          <w:szCs w:val="32"/>
        </w:rPr>
      </w:pPr>
      <w:r>
        <w:rPr>
          <w:rFonts w:hint="eastAsia" w:eastAsia="方正仿宋_GBK"/>
          <w:sz w:val="32"/>
          <w:szCs w:val="32"/>
        </w:rPr>
        <w:t>（4）其他可能造成一般危害或社会影响的。</w:t>
      </w:r>
    </w:p>
    <w:p w14:paraId="31DF1291">
      <w:pPr>
        <w:spacing w:line="300" w:lineRule="auto"/>
        <w:ind w:firstLine="640" w:firstLineChars="200"/>
        <w:rPr>
          <w:rFonts w:hint="eastAsia" w:eastAsia="方正仿宋_GBK"/>
          <w:sz w:val="32"/>
          <w:szCs w:val="32"/>
        </w:rPr>
      </w:pPr>
      <w:r>
        <w:rPr>
          <w:rFonts w:hint="eastAsia" w:eastAsia="方正仿宋_GBK"/>
          <w:sz w:val="32"/>
          <w:szCs w:val="32"/>
        </w:rPr>
        <w:t>本预案中所称“以上”包括本数，“以下”不包括本数。</w:t>
      </w:r>
    </w:p>
    <w:bookmarkEnd w:id="29"/>
    <w:p w14:paraId="0811EF7C">
      <w:pPr>
        <w:spacing w:line="300" w:lineRule="auto"/>
        <w:ind w:firstLine="640" w:firstLineChars="200"/>
        <w:rPr>
          <w:rFonts w:hint="eastAsia" w:eastAsia="方正仿宋_GBK"/>
          <w:sz w:val="32"/>
          <w:szCs w:val="32"/>
        </w:rPr>
      </w:pPr>
      <w:bookmarkStart w:id="30" w:name="_Toc197669659"/>
      <w:bookmarkStart w:id="31" w:name="_Toc210837079"/>
      <w:bookmarkStart w:id="32" w:name="_Toc194395200"/>
      <w:r>
        <w:rPr>
          <w:rFonts w:hint="eastAsia" w:eastAsia="方正仿宋_GBK"/>
          <w:sz w:val="32"/>
          <w:szCs w:val="32"/>
        </w:rPr>
        <w:t>1.6  工作原则</w:t>
      </w:r>
      <w:bookmarkEnd w:id="30"/>
      <w:bookmarkEnd w:id="31"/>
      <w:bookmarkEnd w:id="32"/>
    </w:p>
    <w:p w14:paraId="2F38F122">
      <w:pPr>
        <w:spacing w:line="300" w:lineRule="auto"/>
        <w:ind w:firstLine="640" w:firstLineChars="200"/>
        <w:rPr>
          <w:rFonts w:hint="eastAsia" w:eastAsia="方正仿宋_GBK"/>
          <w:sz w:val="32"/>
          <w:szCs w:val="32"/>
        </w:rPr>
      </w:pPr>
      <w:r>
        <w:rPr>
          <w:rFonts w:hint="eastAsia" w:eastAsia="方正仿宋_GBK"/>
          <w:sz w:val="32"/>
          <w:szCs w:val="32"/>
        </w:rPr>
        <w:t>（1）以人为本，预防为主。坚持以人民为中心，把保障公众健康和生命财产安全作为首要任务，最大程度地减少突发事件造成的人员伤亡和危害。坚持底线思维，加强风险防范和应急准备，全面做好风险评估、物资准备、队伍建设、应急演练等工作。</w:t>
      </w:r>
    </w:p>
    <w:p w14:paraId="31B1C8BA">
      <w:pPr>
        <w:spacing w:line="300" w:lineRule="auto"/>
        <w:ind w:firstLine="640" w:firstLineChars="200"/>
        <w:rPr>
          <w:rFonts w:hint="eastAsia" w:eastAsia="方正仿宋_GBK"/>
          <w:sz w:val="32"/>
          <w:szCs w:val="32"/>
        </w:rPr>
      </w:pPr>
      <w:r>
        <w:rPr>
          <w:rFonts w:hint="eastAsia" w:eastAsia="方正仿宋_GBK"/>
          <w:sz w:val="32"/>
          <w:szCs w:val="32"/>
        </w:rPr>
        <w:t>（2）统筹领导，分级负责。新街口地铁站地下空间突发事件应急工作以属地管理为主，在新街口地铁站地下空间突发事件应急指挥部的统筹领导下，实施综合协调、分类管理、分级负责、条块结合为主的应急管理机制，玄武区、秦淮区、鼓楼区政府按照预案划定的应急管理区域，分别负责各自区域内突发事件的应急处置工作，当突发事件涉及多个责任区时，由牵头区政府负责统筹指挥协调，其他相关区政府配合调度资源、协同处置。</w:t>
      </w:r>
    </w:p>
    <w:p w14:paraId="5EEC98C5">
      <w:pPr>
        <w:spacing w:line="300" w:lineRule="auto"/>
        <w:ind w:firstLine="640" w:firstLineChars="200"/>
        <w:rPr>
          <w:rFonts w:hint="eastAsia" w:eastAsia="方正仿宋_GBK"/>
          <w:sz w:val="32"/>
          <w:szCs w:val="32"/>
        </w:rPr>
      </w:pPr>
      <w:r>
        <w:rPr>
          <w:rFonts w:hint="eastAsia" w:eastAsia="方正仿宋_GBK"/>
          <w:sz w:val="32"/>
          <w:szCs w:val="32"/>
        </w:rPr>
        <w:t>（3）资源整合，强化联动。在新街口地铁站地下空间突发事件应急指挥部的领导下，整合现有政府单位、地铁运营单位、周边生产经营单位等应急处置资源，加强救援装备共享、跨部门通信链路互通，完善应急联动协调机制。</w:t>
      </w:r>
    </w:p>
    <w:p w14:paraId="02BD25FB">
      <w:pPr>
        <w:spacing w:line="300" w:lineRule="auto"/>
        <w:ind w:firstLine="640" w:firstLineChars="200"/>
        <w:rPr>
          <w:rFonts w:hint="eastAsia" w:eastAsia="方正仿宋_GBK"/>
          <w:sz w:val="32"/>
          <w:szCs w:val="32"/>
        </w:rPr>
      </w:pPr>
      <w:bookmarkStart w:id="33" w:name="_Toc197669660"/>
      <w:bookmarkStart w:id="34" w:name="_Toc210837080"/>
      <w:bookmarkStart w:id="35" w:name="_Toc194395201"/>
      <w:r>
        <w:rPr>
          <w:rFonts w:hint="eastAsia" w:eastAsia="方正仿宋_GBK"/>
          <w:sz w:val="32"/>
          <w:szCs w:val="32"/>
        </w:rPr>
        <w:t>1.7  预案体系</w:t>
      </w:r>
      <w:bookmarkEnd w:id="33"/>
      <w:bookmarkEnd w:id="34"/>
      <w:bookmarkEnd w:id="35"/>
    </w:p>
    <w:p w14:paraId="679923E6">
      <w:pPr>
        <w:spacing w:line="300" w:lineRule="auto"/>
        <w:ind w:firstLine="640" w:firstLineChars="200"/>
        <w:rPr>
          <w:rFonts w:hint="eastAsia" w:eastAsia="方正仿宋_GBK"/>
          <w:sz w:val="32"/>
          <w:szCs w:val="32"/>
        </w:rPr>
      </w:pPr>
      <w:r>
        <w:rPr>
          <w:rFonts w:hint="eastAsia" w:eastAsia="方正仿宋_GBK"/>
          <w:sz w:val="32"/>
          <w:szCs w:val="32"/>
        </w:rPr>
        <w:t>新街口地铁站地下空间突发事件应急预案体系由市级应急预案（本预案）、区级（玄武、秦淮、鼓楼）应急预案和相关单位应急预案组成。</w:t>
      </w:r>
    </w:p>
    <w:p w14:paraId="18299ED8">
      <w:pPr>
        <w:spacing w:line="300" w:lineRule="auto"/>
        <w:ind w:firstLine="640" w:firstLineChars="200"/>
        <w:rPr>
          <w:rFonts w:hint="eastAsia" w:eastAsia="方正仿宋_GBK"/>
          <w:sz w:val="32"/>
          <w:szCs w:val="32"/>
        </w:rPr>
      </w:pPr>
      <w:r>
        <w:rPr>
          <w:rFonts w:hint="eastAsia" w:eastAsia="方正仿宋_GBK"/>
          <w:sz w:val="32"/>
          <w:szCs w:val="32"/>
        </w:rPr>
        <w:t>1.7.1  市级应急预案</w:t>
      </w:r>
    </w:p>
    <w:p w14:paraId="65FFC13D">
      <w:pPr>
        <w:spacing w:line="300" w:lineRule="auto"/>
        <w:ind w:firstLine="640" w:firstLineChars="200"/>
        <w:rPr>
          <w:rFonts w:hint="eastAsia" w:eastAsia="方正仿宋_GBK"/>
          <w:sz w:val="32"/>
          <w:szCs w:val="32"/>
        </w:rPr>
      </w:pPr>
      <w:r>
        <w:rPr>
          <w:rFonts w:hint="eastAsia" w:eastAsia="方正仿宋_GBK"/>
          <w:sz w:val="32"/>
          <w:szCs w:val="32"/>
        </w:rPr>
        <w:t>本预案是南京市政府专项预案，与国家、省和市相关预案衔接，是全市应对新街口地铁站地下空间突发事件的总体预案，是新街口地铁站地下空间突发事件应急指挥部应对突发事件的指导性文件，主要用于组织开展较大及以上突发事件应急处置工作，指导事发地所在区政府、市行业主管部门应对一般突发事件的应急处置工作。</w:t>
      </w:r>
    </w:p>
    <w:p w14:paraId="153869B8">
      <w:pPr>
        <w:spacing w:line="300" w:lineRule="auto"/>
        <w:ind w:firstLine="640" w:firstLineChars="200"/>
        <w:rPr>
          <w:rFonts w:hint="eastAsia" w:eastAsia="方正仿宋_GBK"/>
          <w:sz w:val="32"/>
          <w:szCs w:val="32"/>
        </w:rPr>
      </w:pPr>
      <w:r>
        <w:rPr>
          <w:rFonts w:hint="eastAsia" w:eastAsia="方正仿宋_GBK"/>
          <w:sz w:val="32"/>
          <w:szCs w:val="32"/>
        </w:rPr>
        <w:t>1.7.2  区级应急预案</w:t>
      </w:r>
    </w:p>
    <w:p w14:paraId="51BFA857">
      <w:pPr>
        <w:spacing w:line="300" w:lineRule="auto"/>
        <w:ind w:firstLine="640" w:firstLineChars="200"/>
        <w:rPr>
          <w:rFonts w:hint="eastAsia" w:eastAsia="方正仿宋_GBK"/>
          <w:sz w:val="32"/>
          <w:szCs w:val="32"/>
        </w:rPr>
      </w:pPr>
      <w:r>
        <w:rPr>
          <w:rFonts w:hint="eastAsia" w:eastAsia="方正仿宋_GBK"/>
          <w:sz w:val="32"/>
          <w:szCs w:val="32"/>
        </w:rPr>
        <w:t>玄武区、秦淮区、鼓楼区政府应参照本预案，结合新街口地铁站地下空间跨区域特性及属地行政职能，建立本辖区新街口地铁站地下空间突发事件应急预案，或在现有应急预案中体现新街口地铁站地下空间突发事件应急处置工作，主要用于组织开展一般等级以上突发事件应急处置工作。</w:t>
      </w:r>
    </w:p>
    <w:p w14:paraId="19A0A081">
      <w:pPr>
        <w:spacing w:line="300" w:lineRule="auto"/>
        <w:ind w:firstLine="640" w:firstLineChars="200"/>
        <w:rPr>
          <w:rFonts w:hint="eastAsia" w:eastAsia="方正仿宋_GBK"/>
          <w:sz w:val="32"/>
          <w:szCs w:val="32"/>
        </w:rPr>
      </w:pPr>
      <w:r>
        <w:rPr>
          <w:rFonts w:hint="eastAsia" w:eastAsia="方正仿宋_GBK"/>
          <w:sz w:val="32"/>
          <w:szCs w:val="32"/>
        </w:rPr>
        <w:t>1.7.3  相关单位应急预案</w:t>
      </w:r>
    </w:p>
    <w:p w14:paraId="6202FBC0">
      <w:pPr>
        <w:spacing w:line="300" w:lineRule="auto"/>
        <w:ind w:firstLine="640" w:firstLineChars="200"/>
        <w:rPr>
          <w:rFonts w:hint="eastAsia" w:eastAsia="方正仿宋_GBK"/>
          <w:sz w:val="32"/>
          <w:szCs w:val="32"/>
        </w:rPr>
      </w:pPr>
      <w:r>
        <w:rPr>
          <w:rFonts w:hint="eastAsia" w:eastAsia="方正仿宋_GBK"/>
          <w:sz w:val="32"/>
          <w:szCs w:val="32"/>
        </w:rPr>
        <w:t>应急指挥部其他成员单位及周边相关生产经营单位等根据本预案及区政府要求，制定相应部门专项应急预案或现场处置方案，根据需要为新街口地铁站地下空间突发事件的应急处置提供队伍、物资、运力等保障。</w:t>
      </w:r>
    </w:p>
    <w:p w14:paraId="26A00A4A">
      <w:pPr>
        <w:spacing w:line="300" w:lineRule="auto"/>
        <w:ind w:firstLine="640" w:firstLineChars="200"/>
        <w:rPr>
          <w:rFonts w:hint="eastAsia" w:ascii="方正黑体_GBK" w:eastAsia="方正黑体_GBK"/>
          <w:sz w:val="32"/>
          <w:szCs w:val="32"/>
        </w:rPr>
      </w:pPr>
      <w:bookmarkStart w:id="36" w:name="_Toc210837081"/>
      <w:bookmarkStart w:id="37" w:name="_Toc197669661"/>
      <w:bookmarkStart w:id="38" w:name="_Toc194395202"/>
      <w:r>
        <w:rPr>
          <w:rFonts w:hint="eastAsia" w:ascii="方正黑体_GBK" w:eastAsia="方正黑体_GBK"/>
          <w:sz w:val="32"/>
          <w:szCs w:val="32"/>
        </w:rPr>
        <w:t>2  组织体系</w:t>
      </w:r>
      <w:bookmarkEnd w:id="36"/>
      <w:bookmarkEnd w:id="37"/>
      <w:bookmarkEnd w:id="38"/>
    </w:p>
    <w:p w14:paraId="355E86CF">
      <w:pPr>
        <w:spacing w:line="300" w:lineRule="auto"/>
        <w:ind w:firstLine="640" w:firstLineChars="200"/>
        <w:rPr>
          <w:rFonts w:hint="eastAsia" w:eastAsia="方正仿宋_GBK"/>
          <w:sz w:val="32"/>
          <w:szCs w:val="32"/>
        </w:rPr>
      </w:pPr>
      <w:bookmarkStart w:id="39" w:name="_Toc194395203"/>
      <w:bookmarkStart w:id="40" w:name="_Toc197669662"/>
      <w:bookmarkStart w:id="41" w:name="_Toc210837082"/>
      <w:r>
        <w:rPr>
          <w:rFonts w:hint="eastAsia" w:eastAsia="方正仿宋_GBK"/>
          <w:sz w:val="32"/>
          <w:szCs w:val="32"/>
        </w:rPr>
        <w:t xml:space="preserve">2.1  </w:t>
      </w:r>
      <w:bookmarkEnd w:id="39"/>
      <w:bookmarkEnd w:id="40"/>
      <w:r>
        <w:rPr>
          <w:rFonts w:hint="eastAsia" w:eastAsia="方正仿宋_GBK"/>
          <w:sz w:val="32"/>
          <w:szCs w:val="32"/>
        </w:rPr>
        <w:t>应急领导机构</w:t>
      </w:r>
      <w:bookmarkEnd w:id="41"/>
    </w:p>
    <w:p w14:paraId="10692954">
      <w:pPr>
        <w:spacing w:line="300" w:lineRule="auto"/>
        <w:ind w:firstLine="640" w:firstLineChars="200"/>
        <w:rPr>
          <w:rFonts w:hint="eastAsia" w:eastAsia="方正仿宋_GBK"/>
          <w:sz w:val="32"/>
          <w:szCs w:val="32"/>
        </w:rPr>
      </w:pPr>
      <w:r>
        <w:rPr>
          <w:rFonts w:hint="eastAsia" w:eastAsia="方正仿宋_GBK"/>
          <w:sz w:val="32"/>
          <w:szCs w:val="32"/>
        </w:rPr>
        <w:t>新街口地铁站地下空间突发事件应急指挥部（以下简称“应急指挥部”），负责统筹领导、指挥、协调本市新街口地铁站地下空间突发事件应对工作。</w:t>
      </w:r>
    </w:p>
    <w:p w14:paraId="33E824EC">
      <w:pPr>
        <w:spacing w:line="300" w:lineRule="auto"/>
        <w:ind w:firstLine="640" w:firstLineChars="200"/>
        <w:rPr>
          <w:rFonts w:hint="eastAsia" w:eastAsia="方正仿宋_GBK"/>
          <w:sz w:val="32"/>
          <w:szCs w:val="32"/>
        </w:rPr>
      </w:pPr>
      <w:bookmarkStart w:id="42" w:name="_Toc194395511"/>
      <w:bookmarkStart w:id="43" w:name="_Toc197669663"/>
      <w:bookmarkStart w:id="44" w:name="_Toc210837083"/>
      <w:bookmarkStart w:id="45" w:name="_Toc194395204"/>
      <w:r>
        <w:rPr>
          <w:rFonts w:hint="eastAsia" w:eastAsia="方正仿宋_GBK"/>
          <w:sz w:val="32"/>
          <w:szCs w:val="32"/>
        </w:rPr>
        <w:t>2.1.1  应急指挥部组成</w:t>
      </w:r>
      <w:bookmarkEnd w:id="42"/>
      <w:bookmarkEnd w:id="43"/>
      <w:bookmarkEnd w:id="44"/>
      <w:bookmarkEnd w:id="45"/>
    </w:p>
    <w:p w14:paraId="1BCF7F0C">
      <w:pPr>
        <w:spacing w:line="300" w:lineRule="auto"/>
        <w:ind w:firstLine="640" w:firstLineChars="200"/>
        <w:rPr>
          <w:rFonts w:hint="eastAsia" w:eastAsia="方正仿宋_GBK"/>
          <w:sz w:val="32"/>
          <w:szCs w:val="32"/>
        </w:rPr>
      </w:pPr>
      <w:r>
        <w:rPr>
          <w:rFonts w:hint="eastAsia" w:eastAsia="方正仿宋_GBK"/>
          <w:sz w:val="32"/>
          <w:szCs w:val="32"/>
        </w:rPr>
        <w:t>总指挥：</w:t>
      </w:r>
      <w:bookmarkStart w:id="46" w:name="_Hlk200617568"/>
      <w:r>
        <w:rPr>
          <w:rFonts w:hint="eastAsia" w:eastAsia="方正仿宋_GBK"/>
          <w:sz w:val="32"/>
          <w:szCs w:val="32"/>
        </w:rPr>
        <w:t>由市长或分管交通副市长担任（启动一级、二级响应时，由市长担任总指挥，分管交通副市长担任常务副总指挥；启动三级、四级响应时，分管交通副市长担任总指挥）。</w:t>
      </w:r>
    </w:p>
    <w:p w14:paraId="1DC0E985">
      <w:pPr>
        <w:spacing w:line="300" w:lineRule="auto"/>
        <w:ind w:firstLine="640" w:firstLineChars="200"/>
        <w:rPr>
          <w:rFonts w:hint="eastAsia" w:eastAsia="方正仿宋_GBK"/>
          <w:sz w:val="32"/>
          <w:szCs w:val="32"/>
        </w:rPr>
      </w:pPr>
      <w:r>
        <w:rPr>
          <w:rFonts w:hint="eastAsia" w:eastAsia="方正仿宋_GBK"/>
          <w:sz w:val="32"/>
          <w:szCs w:val="32"/>
        </w:rPr>
        <w:t>副总指挥：由市政府分管副秘书长，以及市公安局、市城乡建设委员会、市交通运输局、市卫生健康委员会、市应急管理局、市消防救援支队、南京地铁集团主要领导担任。</w:t>
      </w:r>
    </w:p>
    <w:p w14:paraId="0F0A778C">
      <w:pPr>
        <w:spacing w:line="300" w:lineRule="auto"/>
        <w:ind w:firstLine="640" w:firstLineChars="200"/>
        <w:rPr>
          <w:rFonts w:hint="eastAsia" w:eastAsia="方正仿宋_GBK"/>
          <w:sz w:val="32"/>
          <w:szCs w:val="32"/>
        </w:rPr>
      </w:pPr>
      <w:bookmarkStart w:id="47" w:name="_Hlk198653473"/>
      <w:r>
        <w:rPr>
          <w:rFonts w:hint="eastAsia" w:eastAsia="方正仿宋_GBK"/>
          <w:sz w:val="32"/>
          <w:szCs w:val="32"/>
        </w:rPr>
        <w:t>主要成员：</w:t>
      </w:r>
      <w:bookmarkStart w:id="48" w:name="_Hlk198660052"/>
      <w:bookmarkStart w:id="49" w:name="_Hlk201065731"/>
      <w:r>
        <w:rPr>
          <w:rFonts w:hint="eastAsia" w:eastAsia="方正仿宋_GBK"/>
          <w:sz w:val="32"/>
          <w:szCs w:val="32"/>
        </w:rPr>
        <w:t>市委宣传部、市委网络安全和信息化委员会办公室、市委台湾工作办公室、市发展和改革委员会、市工业和信息化局、市公安局、市民政局、市财政局、市规划和自然资源局、市生态环境局、市城乡建设委员会、市交通运输局、市水务局、市城市管理局、市商务局、市卫生健康委员会、市应急管理局、市政府外事办公室、市国有资产监督管理委员会、市市场监督管理局、市国防动员办公室、市气象局、市消防救援支队、南京通信行业管理办公室、玄武区政府、秦淮区政府、鼓楼区政府、南京地铁集团、南京城建集团、南京供电公司等</w:t>
      </w:r>
      <w:bookmarkEnd w:id="48"/>
      <w:r>
        <w:rPr>
          <w:rFonts w:hint="eastAsia" w:eastAsia="方正仿宋_GBK"/>
          <w:sz w:val="32"/>
          <w:szCs w:val="32"/>
        </w:rPr>
        <w:t>，成员单位可根据突发事件处置需要进行调整。</w:t>
      </w:r>
      <w:bookmarkEnd w:id="49"/>
    </w:p>
    <w:bookmarkEnd w:id="46"/>
    <w:bookmarkEnd w:id="47"/>
    <w:p w14:paraId="24F587EB">
      <w:pPr>
        <w:spacing w:line="300" w:lineRule="auto"/>
        <w:ind w:firstLine="640" w:firstLineChars="200"/>
        <w:rPr>
          <w:rFonts w:hint="eastAsia" w:eastAsia="方正仿宋_GBK"/>
          <w:sz w:val="32"/>
          <w:szCs w:val="32"/>
        </w:rPr>
      </w:pPr>
      <w:bookmarkStart w:id="50" w:name="_Toc194395512"/>
      <w:bookmarkStart w:id="51" w:name="_Toc197669664"/>
      <w:bookmarkStart w:id="52" w:name="_Toc194395205"/>
      <w:bookmarkStart w:id="53" w:name="_Toc210837084"/>
      <w:r>
        <w:rPr>
          <w:rFonts w:hint="eastAsia" w:eastAsia="方正仿宋_GBK"/>
          <w:sz w:val="32"/>
          <w:szCs w:val="32"/>
        </w:rPr>
        <w:t>2.1.2  应急指挥部职责</w:t>
      </w:r>
      <w:bookmarkEnd w:id="50"/>
      <w:bookmarkEnd w:id="51"/>
      <w:bookmarkEnd w:id="52"/>
      <w:bookmarkEnd w:id="53"/>
    </w:p>
    <w:p w14:paraId="25097FB1">
      <w:pPr>
        <w:spacing w:line="300" w:lineRule="auto"/>
        <w:ind w:firstLine="640" w:firstLineChars="200"/>
        <w:rPr>
          <w:rFonts w:hint="eastAsia" w:eastAsia="方正仿宋_GBK"/>
          <w:sz w:val="32"/>
          <w:szCs w:val="32"/>
        </w:rPr>
      </w:pPr>
      <w:r>
        <w:rPr>
          <w:rFonts w:hint="eastAsia" w:eastAsia="方正仿宋_GBK"/>
          <w:sz w:val="32"/>
          <w:szCs w:val="32"/>
        </w:rPr>
        <w:t>（1）贯彻落实上级有关应急工作决策部署，按规定向上级单位报告新街口地铁站地下空间突发事件和救援情况，根据处置需求及时请示上级应急机构调配增援力量。</w:t>
      </w:r>
    </w:p>
    <w:p w14:paraId="40302A1B">
      <w:pPr>
        <w:spacing w:line="300" w:lineRule="auto"/>
        <w:ind w:firstLine="640" w:firstLineChars="200"/>
        <w:rPr>
          <w:rFonts w:hint="eastAsia" w:eastAsia="方正仿宋_GBK"/>
          <w:sz w:val="32"/>
          <w:szCs w:val="32"/>
        </w:rPr>
      </w:pPr>
      <w:r>
        <w:rPr>
          <w:rFonts w:hint="eastAsia" w:eastAsia="方正仿宋_GBK"/>
          <w:sz w:val="32"/>
          <w:szCs w:val="32"/>
        </w:rPr>
        <w:t>（2）决定启动和终止应急响应行动，领导、组织、协调新街口地铁站地下空间突发事件应急管理和应急救援工作，指导现场指挥部及各应急工作小组开展救援工作。</w:t>
      </w:r>
    </w:p>
    <w:p w14:paraId="1367343B">
      <w:pPr>
        <w:spacing w:line="300" w:lineRule="auto"/>
        <w:ind w:firstLine="640" w:firstLineChars="200"/>
        <w:rPr>
          <w:rFonts w:hint="eastAsia" w:eastAsia="方正仿宋_GBK"/>
          <w:sz w:val="32"/>
          <w:szCs w:val="32"/>
        </w:rPr>
      </w:pPr>
      <w:r>
        <w:rPr>
          <w:rFonts w:hint="eastAsia" w:eastAsia="方正仿宋_GBK"/>
          <w:sz w:val="32"/>
          <w:szCs w:val="32"/>
        </w:rPr>
        <w:t>（3）指导事发地所在区政府及市有关部门做好新街口地铁站地下空间突发事件应对处置工作。</w:t>
      </w:r>
    </w:p>
    <w:p w14:paraId="209BA7C9">
      <w:pPr>
        <w:spacing w:line="300" w:lineRule="auto"/>
        <w:ind w:firstLine="640" w:firstLineChars="200"/>
        <w:rPr>
          <w:rFonts w:hint="eastAsia" w:eastAsia="方正仿宋_GBK"/>
          <w:sz w:val="32"/>
          <w:szCs w:val="32"/>
        </w:rPr>
      </w:pPr>
      <w:r>
        <w:rPr>
          <w:rFonts w:hint="eastAsia" w:eastAsia="方正仿宋_GBK"/>
          <w:sz w:val="32"/>
          <w:szCs w:val="32"/>
        </w:rPr>
        <w:t>（4）组织信息发布和舆论引导。</w:t>
      </w:r>
    </w:p>
    <w:p w14:paraId="35B4F07B">
      <w:pPr>
        <w:spacing w:line="300" w:lineRule="auto"/>
        <w:ind w:firstLine="640" w:firstLineChars="200"/>
        <w:rPr>
          <w:rFonts w:hint="eastAsia" w:eastAsia="方正仿宋_GBK"/>
          <w:sz w:val="32"/>
          <w:szCs w:val="32"/>
        </w:rPr>
      </w:pPr>
      <w:bookmarkStart w:id="54" w:name="_Toc194395207"/>
      <w:bookmarkStart w:id="55" w:name="_Toc197669666"/>
      <w:bookmarkStart w:id="56" w:name="_Toc194395514"/>
      <w:bookmarkStart w:id="57" w:name="_Toc210837085"/>
      <w:bookmarkStart w:id="58" w:name="_Toc197669665"/>
      <w:bookmarkStart w:id="59" w:name="_Toc194395206"/>
      <w:bookmarkStart w:id="60" w:name="_Toc194395513"/>
      <w:r>
        <w:rPr>
          <w:rFonts w:hint="eastAsia" w:eastAsia="方正仿宋_GBK"/>
          <w:sz w:val="32"/>
          <w:szCs w:val="32"/>
        </w:rPr>
        <w:t>2.1.3  主要成员单位职责</w:t>
      </w:r>
      <w:bookmarkEnd w:id="54"/>
      <w:bookmarkEnd w:id="55"/>
      <w:bookmarkEnd w:id="56"/>
      <w:bookmarkEnd w:id="57"/>
    </w:p>
    <w:p w14:paraId="1C0FD3FF">
      <w:pPr>
        <w:spacing w:line="300" w:lineRule="auto"/>
        <w:ind w:firstLine="640" w:firstLineChars="200"/>
        <w:rPr>
          <w:rFonts w:hint="eastAsia" w:eastAsia="方正仿宋_GBK"/>
          <w:sz w:val="32"/>
          <w:szCs w:val="32"/>
        </w:rPr>
      </w:pPr>
      <w:r>
        <w:rPr>
          <w:rFonts w:hint="eastAsia" w:eastAsia="方正仿宋_GBK"/>
          <w:sz w:val="32"/>
          <w:szCs w:val="32"/>
        </w:rPr>
        <w:t>（1）市委宣传部：负责组织协调突发事件新闻发布工作，必要时组织召开新闻发布会，正确引导社会舆论，及时回应社会关切。</w:t>
      </w:r>
    </w:p>
    <w:p w14:paraId="3C84AD72">
      <w:pPr>
        <w:spacing w:line="300" w:lineRule="auto"/>
        <w:ind w:firstLine="640" w:firstLineChars="200"/>
        <w:rPr>
          <w:rFonts w:hint="eastAsia" w:eastAsia="方正仿宋_GBK"/>
          <w:sz w:val="32"/>
          <w:szCs w:val="32"/>
        </w:rPr>
      </w:pPr>
      <w:r>
        <w:rPr>
          <w:rFonts w:hint="eastAsia" w:eastAsia="方正仿宋_GBK"/>
          <w:sz w:val="32"/>
          <w:szCs w:val="32"/>
        </w:rPr>
        <w:t>（2）市委网络安全和信息化委员会办公室：加强网情监测，指导相关单位做好舆情处置和引导。</w:t>
      </w:r>
    </w:p>
    <w:p w14:paraId="687BF20F">
      <w:pPr>
        <w:spacing w:line="300" w:lineRule="auto"/>
        <w:ind w:firstLine="640" w:firstLineChars="200"/>
        <w:rPr>
          <w:rFonts w:hint="eastAsia" w:eastAsia="方正仿宋_GBK"/>
          <w:sz w:val="32"/>
          <w:szCs w:val="32"/>
        </w:rPr>
      </w:pPr>
      <w:r>
        <w:rPr>
          <w:rFonts w:hint="eastAsia" w:eastAsia="方正仿宋_GBK"/>
          <w:sz w:val="32"/>
          <w:szCs w:val="32"/>
        </w:rPr>
        <w:t>（3）市委台湾工作办公室、市政府外事办公室：协助做好对入境游客的救护联系工作，按职责分工协调处理事件中涉外涉台事宜。</w:t>
      </w:r>
    </w:p>
    <w:p w14:paraId="50148CAC">
      <w:pPr>
        <w:spacing w:line="300" w:lineRule="auto"/>
        <w:ind w:firstLine="640" w:firstLineChars="200"/>
        <w:rPr>
          <w:rFonts w:hint="eastAsia" w:eastAsia="方正仿宋_GBK"/>
          <w:sz w:val="32"/>
          <w:szCs w:val="32"/>
        </w:rPr>
      </w:pPr>
      <w:r>
        <w:rPr>
          <w:rFonts w:hint="eastAsia" w:eastAsia="方正仿宋_GBK"/>
          <w:sz w:val="32"/>
          <w:szCs w:val="32"/>
        </w:rPr>
        <w:t>（4）市发展和改革委员会、市工业和信息化局、市财政局、市商务局：负责应急救援物资等相关事项的协调保障工作。</w:t>
      </w:r>
    </w:p>
    <w:p w14:paraId="24412728">
      <w:pPr>
        <w:spacing w:line="300" w:lineRule="auto"/>
        <w:ind w:firstLine="640" w:firstLineChars="200"/>
        <w:rPr>
          <w:rFonts w:hint="eastAsia" w:eastAsia="方正仿宋_GBK"/>
          <w:sz w:val="32"/>
          <w:szCs w:val="32"/>
        </w:rPr>
      </w:pPr>
      <w:bookmarkStart w:id="61" w:name="_Hlk198660850"/>
      <w:r>
        <w:rPr>
          <w:rFonts w:hint="eastAsia" w:eastAsia="方正仿宋_GBK"/>
          <w:sz w:val="32"/>
          <w:szCs w:val="32"/>
        </w:rPr>
        <w:t>（5）市公安局：负责组织开展现场治安、警戒及周边道路交通管制，保障救援运输畅通；协助现场指挥部做好人员疏散引导、危险区域封锁等工作；处置群体性治安事件，组织群众安全转移与安置；承担突发事件现场秩序维护、交通组织工作；参与突发事件应急处置和事故调查工作，查处涉及突发事件的刑事案件。</w:t>
      </w:r>
    </w:p>
    <w:p w14:paraId="3466A349">
      <w:pPr>
        <w:spacing w:line="300" w:lineRule="auto"/>
        <w:ind w:firstLine="640" w:firstLineChars="200"/>
        <w:rPr>
          <w:rFonts w:hint="eastAsia" w:eastAsia="方正仿宋_GBK"/>
          <w:sz w:val="32"/>
          <w:szCs w:val="32"/>
        </w:rPr>
      </w:pPr>
      <w:r>
        <w:rPr>
          <w:rFonts w:hint="eastAsia" w:eastAsia="方正仿宋_GBK"/>
          <w:sz w:val="32"/>
          <w:szCs w:val="32"/>
        </w:rPr>
        <w:t>（6）市民政局：负责组织协调受灾人员的临时生活救助，配合做好伤亡人员的善后处理工作。</w:t>
      </w:r>
    </w:p>
    <w:p w14:paraId="77802699">
      <w:pPr>
        <w:spacing w:line="300" w:lineRule="auto"/>
        <w:ind w:firstLine="640" w:firstLineChars="200"/>
        <w:rPr>
          <w:rFonts w:hint="eastAsia" w:eastAsia="方正仿宋_GBK"/>
          <w:sz w:val="32"/>
          <w:szCs w:val="32"/>
        </w:rPr>
      </w:pPr>
      <w:r>
        <w:rPr>
          <w:rFonts w:hint="eastAsia" w:eastAsia="方正仿宋_GBK"/>
          <w:sz w:val="32"/>
          <w:szCs w:val="32"/>
        </w:rPr>
        <w:t>（7）市规划和自然资源局：指导相关单位做好新街口地铁站周边地质灾害风险监测；参与因地质灾害、地面沉降等引发的新街口地铁站地下空间突发事件应急处置。</w:t>
      </w:r>
    </w:p>
    <w:p w14:paraId="7DDCD1C4">
      <w:pPr>
        <w:spacing w:line="300" w:lineRule="auto"/>
        <w:ind w:firstLine="640" w:firstLineChars="200"/>
        <w:rPr>
          <w:rFonts w:hint="eastAsia" w:eastAsia="方正仿宋_GBK"/>
          <w:sz w:val="32"/>
          <w:szCs w:val="32"/>
        </w:rPr>
      </w:pPr>
      <w:r>
        <w:rPr>
          <w:rFonts w:hint="eastAsia" w:eastAsia="方正仿宋_GBK"/>
          <w:sz w:val="32"/>
          <w:szCs w:val="32"/>
        </w:rPr>
        <w:t>（8）市生态环境局：负责新街口地铁站地下空间突发事件现场以及周边地区环境应急监测工作，为事件应急决策提供环境应急监测数据；牵头指导突发事件现场污染控制与清理工作。</w:t>
      </w:r>
    </w:p>
    <w:p w14:paraId="744CB076">
      <w:pPr>
        <w:spacing w:line="300" w:lineRule="auto"/>
        <w:ind w:firstLine="640" w:firstLineChars="200"/>
        <w:rPr>
          <w:rFonts w:hint="eastAsia" w:eastAsia="方正仿宋_GBK"/>
          <w:sz w:val="32"/>
          <w:szCs w:val="32"/>
        </w:rPr>
      </w:pPr>
      <w:r>
        <w:rPr>
          <w:rFonts w:hint="eastAsia" w:eastAsia="方正仿宋_GBK"/>
          <w:sz w:val="32"/>
          <w:szCs w:val="32"/>
        </w:rPr>
        <w:t>（9）市城乡建设委员会：协助开展突发事件应急处置和涉及轨道交通建设期间工程质量的事故调查工作。</w:t>
      </w:r>
    </w:p>
    <w:p w14:paraId="022AC8AD">
      <w:pPr>
        <w:spacing w:line="300" w:lineRule="auto"/>
        <w:ind w:firstLine="640" w:firstLineChars="200"/>
        <w:rPr>
          <w:rFonts w:hint="eastAsia" w:eastAsia="方正仿宋_GBK"/>
          <w:sz w:val="32"/>
          <w:szCs w:val="32"/>
        </w:rPr>
      </w:pPr>
      <w:r>
        <w:rPr>
          <w:rFonts w:hint="eastAsia" w:eastAsia="方正仿宋_GBK"/>
          <w:sz w:val="32"/>
          <w:szCs w:val="32"/>
        </w:rPr>
        <w:t>（10）市交通运输局：负责应急处置所需的交通运输保障；组织公交接驳停靠点、停靠区域的秩序维护，协助公安部门实施临时交通管制；优化相关区域内公交车辆线路，根据需求启动地面公交接驳分流，保障人员疏散车辆和应急处置队伍、物资、设备运输；参与突发事件应急处置和事故调查。</w:t>
      </w:r>
    </w:p>
    <w:p w14:paraId="388C962E">
      <w:pPr>
        <w:spacing w:line="300" w:lineRule="auto"/>
        <w:ind w:firstLine="640" w:firstLineChars="200"/>
        <w:rPr>
          <w:rFonts w:hint="eastAsia" w:eastAsia="方正仿宋_GBK"/>
          <w:sz w:val="32"/>
          <w:szCs w:val="32"/>
        </w:rPr>
      </w:pPr>
      <w:r>
        <w:rPr>
          <w:rFonts w:hint="eastAsia" w:eastAsia="方正仿宋_GBK"/>
          <w:sz w:val="32"/>
          <w:szCs w:val="32"/>
        </w:rPr>
        <w:t>（11）市水务局：协调应急区域供水、排水的巡查抢修工作；协调事故现场相关区域水务设施的抢修及处置；参与地下空间防汛防台风等突发事件的调查处理工作。</w:t>
      </w:r>
    </w:p>
    <w:p w14:paraId="19D2AA2D">
      <w:pPr>
        <w:spacing w:line="300" w:lineRule="auto"/>
        <w:ind w:firstLine="640" w:firstLineChars="200"/>
        <w:rPr>
          <w:rFonts w:hint="eastAsia" w:eastAsia="方正仿宋_GBK"/>
          <w:sz w:val="32"/>
          <w:szCs w:val="32"/>
        </w:rPr>
      </w:pPr>
      <w:r>
        <w:rPr>
          <w:rFonts w:hint="eastAsia" w:eastAsia="方正仿宋_GBK"/>
          <w:sz w:val="32"/>
          <w:szCs w:val="32"/>
        </w:rPr>
        <w:t>（12）市城市管理局：负责应急处置时新街口周边市容环境秩序治理工作。</w:t>
      </w:r>
    </w:p>
    <w:p w14:paraId="713269BD">
      <w:pPr>
        <w:spacing w:line="300" w:lineRule="auto"/>
        <w:ind w:firstLine="640" w:firstLineChars="200"/>
        <w:rPr>
          <w:rFonts w:hint="eastAsia" w:eastAsia="方正仿宋_GBK"/>
          <w:sz w:val="32"/>
          <w:szCs w:val="32"/>
        </w:rPr>
      </w:pPr>
      <w:r>
        <w:rPr>
          <w:rFonts w:hint="eastAsia" w:eastAsia="方正仿宋_GBK"/>
          <w:sz w:val="32"/>
          <w:szCs w:val="32"/>
        </w:rPr>
        <w:t>（13）市卫生健康委员会：负责调配医务人员、医疗器材、急救药品，组织现场抢救及伤员转运、分流救治；配合开展新街口地铁站地下空间公共卫生类突发事件应急处置，组织公共卫生类突发事件的调查处置；统计医疗救治相关信息。</w:t>
      </w:r>
    </w:p>
    <w:p w14:paraId="7B947868">
      <w:pPr>
        <w:spacing w:line="300" w:lineRule="auto"/>
        <w:ind w:firstLine="640" w:firstLineChars="200"/>
        <w:rPr>
          <w:rFonts w:hint="eastAsia" w:eastAsia="方正仿宋_GBK"/>
          <w:sz w:val="32"/>
          <w:szCs w:val="32"/>
        </w:rPr>
      </w:pPr>
      <w:r>
        <w:rPr>
          <w:rFonts w:hint="eastAsia" w:eastAsia="方正仿宋_GBK"/>
          <w:sz w:val="32"/>
          <w:szCs w:val="32"/>
        </w:rPr>
        <w:t>（14）市应急管理局：协调专业应急救援队伍参与应急救援；配合开展突发事件现场人员搜救、险情处置、基础设施抢修等工作，协助现场指挥部做好突发事件应急处置工作；组织突发事件中安全生产事故的调查处理。</w:t>
      </w:r>
    </w:p>
    <w:p w14:paraId="7A4F8379">
      <w:pPr>
        <w:spacing w:line="300" w:lineRule="auto"/>
        <w:ind w:firstLine="640" w:firstLineChars="200"/>
        <w:rPr>
          <w:rFonts w:hint="eastAsia" w:eastAsia="方正仿宋_GBK"/>
          <w:sz w:val="32"/>
          <w:szCs w:val="32"/>
        </w:rPr>
      </w:pPr>
      <w:r>
        <w:rPr>
          <w:rFonts w:hint="eastAsia" w:eastAsia="方正仿宋_GBK"/>
          <w:sz w:val="32"/>
          <w:szCs w:val="32"/>
        </w:rPr>
        <w:t>（15）市国有资产监督管理委员会：督促相关市属国有企业做好突发事件应对工作，配合做好突发事件灾后恢复重建与评估等工作。</w:t>
      </w:r>
    </w:p>
    <w:p w14:paraId="1C127B46">
      <w:pPr>
        <w:spacing w:line="300" w:lineRule="auto"/>
        <w:ind w:firstLine="640" w:firstLineChars="200"/>
        <w:rPr>
          <w:rFonts w:hint="eastAsia" w:eastAsia="方正仿宋_GBK"/>
          <w:sz w:val="32"/>
          <w:szCs w:val="32"/>
        </w:rPr>
      </w:pPr>
      <w:r>
        <w:rPr>
          <w:rFonts w:hint="eastAsia" w:eastAsia="方正仿宋_GBK"/>
          <w:sz w:val="32"/>
          <w:szCs w:val="32"/>
        </w:rPr>
        <w:t>（16）市市场监督管理局：负责组织、协调新街口地铁站地下空间特种设备突发事件应急处置；组织、参与新街口地铁站地下空间特种设备事故的调查处理。</w:t>
      </w:r>
    </w:p>
    <w:p w14:paraId="4B33D44B">
      <w:pPr>
        <w:spacing w:line="300" w:lineRule="auto"/>
        <w:ind w:firstLine="640" w:firstLineChars="200"/>
        <w:rPr>
          <w:rFonts w:hint="eastAsia" w:eastAsia="方正仿宋_GBK"/>
          <w:sz w:val="32"/>
          <w:szCs w:val="32"/>
        </w:rPr>
      </w:pPr>
      <w:r>
        <w:rPr>
          <w:rFonts w:hint="eastAsia" w:eastAsia="方正仿宋_GBK"/>
          <w:sz w:val="32"/>
          <w:szCs w:val="32"/>
        </w:rPr>
        <w:t>（17）</w:t>
      </w:r>
      <w:bookmarkStart w:id="62" w:name="OLE_LINK5"/>
      <w:r>
        <w:rPr>
          <w:rFonts w:hint="eastAsia" w:eastAsia="方正仿宋_GBK"/>
          <w:sz w:val="32"/>
          <w:szCs w:val="32"/>
        </w:rPr>
        <w:t>市国防动员办公室</w:t>
      </w:r>
      <w:bookmarkEnd w:id="62"/>
      <w:r>
        <w:rPr>
          <w:rFonts w:hint="eastAsia" w:eastAsia="方正仿宋_GBK"/>
          <w:sz w:val="32"/>
          <w:szCs w:val="32"/>
        </w:rPr>
        <w:t>：督促新街口地铁站地下空间范围内市属自建人防工程管理单位开展防汛工作，指导各区自建人防工程防汛工作。</w:t>
      </w:r>
    </w:p>
    <w:p w14:paraId="411B899F">
      <w:pPr>
        <w:spacing w:line="300" w:lineRule="auto"/>
        <w:ind w:firstLine="640" w:firstLineChars="200"/>
        <w:rPr>
          <w:rFonts w:hint="eastAsia" w:eastAsia="方正仿宋_GBK"/>
          <w:sz w:val="32"/>
          <w:szCs w:val="32"/>
        </w:rPr>
      </w:pPr>
      <w:r>
        <w:rPr>
          <w:rFonts w:hint="eastAsia" w:eastAsia="方正仿宋_GBK"/>
          <w:sz w:val="32"/>
          <w:szCs w:val="32"/>
        </w:rPr>
        <w:t>（18）市气象局：负责提供气象灾害监测、预报、预警及风险评估等信息，及时向应急指挥部提供预报、预警信息服务；调查、分析和评估突发事件中的气象灾情。</w:t>
      </w:r>
    </w:p>
    <w:p w14:paraId="069C1526">
      <w:pPr>
        <w:spacing w:line="300" w:lineRule="auto"/>
        <w:ind w:firstLine="640" w:firstLineChars="200"/>
        <w:rPr>
          <w:rFonts w:hint="eastAsia" w:eastAsia="方正仿宋_GBK"/>
          <w:sz w:val="32"/>
          <w:szCs w:val="32"/>
        </w:rPr>
      </w:pPr>
      <w:r>
        <w:rPr>
          <w:rFonts w:hint="eastAsia" w:eastAsia="方正仿宋_GBK"/>
          <w:sz w:val="32"/>
          <w:szCs w:val="32"/>
        </w:rPr>
        <w:t>（19）市消防救援支队：负责组织指导各级消防救援队伍建设、应急救援装备及物资储备；组织、指挥各级消防救援队伍参与抢险救援工作，协助现场指挥部做好人员疏散引导和营救工作；组织新街口地铁站地下空间火灾现场扑救；参与新街口地铁站地下空间火灾事故的调查处理。</w:t>
      </w:r>
    </w:p>
    <w:p w14:paraId="60D09531">
      <w:pPr>
        <w:spacing w:line="300" w:lineRule="auto"/>
        <w:ind w:firstLine="640" w:firstLineChars="200"/>
        <w:rPr>
          <w:rFonts w:hint="eastAsia" w:eastAsia="方正仿宋_GBK"/>
          <w:sz w:val="32"/>
          <w:szCs w:val="32"/>
        </w:rPr>
      </w:pPr>
      <w:r>
        <w:rPr>
          <w:rFonts w:hint="eastAsia" w:eastAsia="方正仿宋_GBK"/>
          <w:sz w:val="32"/>
          <w:szCs w:val="32"/>
        </w:rPr>
        <w:t>（20）南京通信行业管理办公室：统筹全市应急通信保障资源调配，组织协调电信、移动、联通、铁塔公司为突发事件应急救援提供</w:t>
      </w:r>
      <w:bookmarkStart w:id="63" w:name="OLE_LINK16"/>
      <w:r>
        <w:rPr>
          <w:rFonts w:hint="eastAsia" w:eastAsia="方正仿宋_GBK"/>
          <w:sz w:val="32"/>
          <w:szCs w:val="32"/>
        </w:rPr>
        <w:t>公众通信网络</w:t>
      </w:r>
      <w:bookmarkEnd w:id="63"/>
      <w:r>
        <w:rPr>
          <w:rFonts w:hint="eastAsia" w:eastAsia="方正仿宋_GBK"/>
          <w:sz w:val="32"/>
          <w:szCs w:val="32"/>
        </w:rPr>
        <w:t>保障。</w:t>
      </w:r>
    </w:p>
    <w:p w14:paraId="3BCED7E3">
      <w:pPr>
        <w:spacing w:line="300" w:lineRule="auto"/>
        <w:ind w:firstLine="640" w:firstLineChars="200"/>
        <w:rPr>
          <w:rFonts w:hint="eastAsia" w:eastAsia="方正仿宋_GBK"/>
          <w:sz w:val="32"/>
          <w:szCs w:val="32"/>
        </w:rPr>
      </w:pPr>
      <w:r>
        <w:rPr>
          <w:rFonts w:hint="eastAsia" w:eastAsia="方正仿宋_GBK"/>
          <w:sz w:val="32"/>
          <w:szCs w:val="32"/>
        </w:rPr>
        <w:t>（21）玄武区政府：组织本辖区内新街口地铁站地下空间一般突发事件的指挥协调工作，负责牵头组织7号出入口的地铁权属连接通道及邻近区域的突发事件应急处置工作，协同参与站厅层、站台层等核心公共区域突发事件应急处置（具体应急管理区域边界详见附件9.4），协调各方力量做好救援抢险、人员疏散、交通管制、善后处理等工作；配合应急指挥部做好较大及以上突发事件的现场处置，在应急指挥部的统一指挥下，具体组织实施人员疏散安置、辖区应急资源统筹调度等工作；负责本辖区与新街口地铁站地下空间连通或邻近高层楼宇的安全生产和消防安全监管，协调周边相关生产经营单位参与应急救援；统筹协调本辖区内突发事件的信息报送、跨部门联动及后续处置工作。</w:t>
      </w:r>
    </w:p>
    <w:p w14:paraId="390F355A">
      <w:pPr>
        <w:spacing w:line="300" w:lineRule="auto"/>
        <w:ind w:firstLine="640" w:firstLineChars="200"/>
        <w:rPr>
          <w:rFonts w:hint="eastAsia" w:eastAsia="方正仿宋_GBK"/>
          <w:sz w:val="32"/>
          <w:szCs w:val="32"/>
        </w:rPr>
      </w:pPr>
      <w:r>
        <w:rPr>
          <w:rFonts w:hint="eastAsia" w:eastAsia="方正仿宋_GBK"/>
          <w:sz w:val="32"/>
          <w:szCs w:val="32"/>
        </w:rPr>
        <w:t>（22）秦淮区政府：组织本辖区内新街口地铁站地下空间一般突发事件的指挥协调工作，负责牵头组织除6号出入口、7号出入口以外其他出入口的地铁权属连接通道及附属商业区域内突发事件的应急处置工作，并牵头站厅层、站台层等核心公共区域突发事件应急处置（具体应急管理区域边界详见附件9.4），协调各方力量做好救援抢险、人员疏散、交通管制、善后处理等工作；配合应急指挥部做好较大及以上突发事件的现场处置，在应急指挥部的统一指挥下，具体组织实施人员疏散安置、辖区应急资源统筹调度等工作；负责本辖区与新街口地铁站地下空间连通或邻近高层楼宇的安全生产和消防安全监管，协调周边相关生产经营单位参与应急救援；统筹协调本辖区内突发事件的信息报送、跨部门联动及后续处置工作。</w:t>
      </w:r>
    </w:p>
    <w:p w14:paraId="5E6E7A98">
      <w:pPr>
        <w:spacing w:line="300" w:lineRule="auto"/>
        <w:ind w:firstLine="640" w:firstLineChars="200"/>
        <w:rPr>
          <w:rFonts w:hint="eastAsia" w:eastAsia="方正仿宋_GBK"/>
          <w:sz w:val="32"/>
          <w:szCs w:val="32"/>
        </w:rPr>
      </w:pPr>
      <w:r>
        <w:rPr>
          <w:rFonts w:hint="eastAsia" w:eastAsia="方正仿宋_GBK"/>
          <w:sz w:val="32"/>
          <w:szCs w:val="32"/>
        </w:rPr>
        <w:t>（23）鼓楼区政府：组织本辖区内新街口地铁站地下空间一般突发事件的指挥协调工作，负责牵头组织6号出入口的地铁权属连接通道及邻近区域的突发事件应急处置工作，协同参与站厅层、站台层等核心公共区域突发事件应急处置（具体应急管理区域边界详见附件9.4），协调各方力量做好救援抢险、人员疏散、交通管制、善后处理等工作；配合应急指挥部做好较大及以上突发事件的现场处置，在应急指挥部的统一指挥下，具体组织实施人员疏散安置、辖区应急资源统筹调度等工作；负责本辖区与新街口地铁站地下空间连通或邻近高层楼宇的安全生产和消防安全监管，协调周边相关生产经营单位参与应急救援；统筹协调本辖区内突发事件的信息报送、跨部门联动及后续处置工作。</w:t>
      </w:r>
    </w:p>
    <w:p w14:paraId="212D5FD5">
      <w:pPr>
        <w:spacing w:line="300" w:lineRule="auto"/>
        <w:ind w:firstLine="640" w:firstLineChars="200"/>
        <w:rPr>
          <w:rFonts w:hint="eastAsia" w:eastAsia="方正仿宋_GBK"/>
          <w:sz w:val="32"/>
          <w:szCs w:val="32"/>
        </w:rPr>
      </w:pPr>
      <w:r>
        <w:rPr>
          <w:rFonts w:hint="eastAsia" w:eastAsia="方正仿宋_GBK"/>
          <w:sz w:val="32"/>
          <w:szCs w:val="32"/>
        </w:rPr>
        <w:t>（24）南京地铁集团：负责新街口地铁站运营的日常行车组织、设施设备维护、运营预警信息发布以及突发事件先期处置，及时上报事件信息并启动内部应急响应机制，参与抢险救援；负责站内应急响应的组织协调，在先期处置阶段研判并组织车站内乘客疏散转移，实施广播引导、通道管理、乘客疏散等工作，配合现场指挥部开展后续人员疏散、秩序维护、抢险救援等工作；负责实施列车扣停、区间清客、车站封闭、列车运行线路调整等应急措施。</w:t>
      </w:r>
    </w:p>
    <w:p w14:paraId="7E657FDD">
      <w:pPr>
        <w:spacing w:line="300" w:lineRule="auto"/>
        <w:ind w:firstLine="640" w:firstLineChars="200"/>
        <w:rPr>
          <w:rFonts w:hint="eastAsia" w:eastAsia="方正仿宋_GBK"/>
          <w:sz w:val="32"/>
          <w:szCs w:val="32"/>
        </w:rPr>
      </w:pPr>
      <w:r>
        <w:rPr>
          <w:rFonts w:hint="eastAsia" w:eastAsia="方正仿宋_GBK"/>
          <w:sz w:val="32"/>
          <w:szCs w:val="32"/>
        </w:rPr>
        <w:t>（25）南京城建集团：健全企业内部应急接驳机制，细化公交应急接驳现场调度方案，落实应急接驳车辆现场调度人员，按要求实施应急接驳。</w:t>
      </w:r>
    </w:p>
    <w:p w14:paraId="66CF6F8D">
      <w:pPr>
        <w:spacing w:line="300" w:lineRule="auto"/>
        <w:ind w:firstLine="640" w:firstLineChars="200"/>
        <w:rPr>
          <w:rFonts w:hint="eastAsia" w:eastAsia="方正仿宋_GBK"/>
          <w:sz w:val="32"/>
          <w:szCs w:val="32"/>
        </w:rPr>
      </w:pPr>
      <w:r>
        <w:rPr>
          <w:rFonts w:hint="eastAsia" w:eastAsia="方正仿宋_GBK"/>
          <w:sz w:val="32"/>
          <w:szCs w:val="32"/>
        </w:rPr>
        <w:t>（26）南京供电公司：负责现场应急救援所需的电力保障。</w:t>
      </w:r>
    </w:p>
    <w:bookmarkEnd w:id="61"/>
    <w:p w14:paraId="6F24B295">
      <w:pPr>
        <w:spacing w:line="300" w:lineRule="auto"/>
        <w:ind w:firstLine="640" w:firstLineChars="200"/>
        <w:rPr>
          <w:rFonts w:hint="eastAsia" w:eastAsia="方正仿宋_GBK"/>
          <w:sz w:val="32"/>
          <w:szCs w:val="32"/>
        </w:rPr>
      </w:pPr>
      <w:bookmarkStart w:id="64" w:name="_Toc210837086"/>
      <w:r>
        <w:rPr>
          <w:rFonts w:hint="eastAsia" w:eastAsia="方正仿宋_GBK"/>
          <w:sz w:val="32"/>
          <w:szCs w:val="32"/>
        </w:rPr>
        <w:t>2.</w:t>
      </w:r>
      <w:bookmarkEnd w:id="58"/>
      <w:bookmarkEnd w:id="59"/>
      <w:bookmarkEnd w:id="60"/>
      <w:r>
        <w:rPr>
          <w:rFonts w:hint="eastAsia" w:eastAsia="方正仿宋_GBK"/>
          <w:sz w:val="32"/>
          <w:szCs w:val="32"/>
        </w:rPr>
        <w:t>2  日常办事机构</w:t>
      </w:r>
      <w:bookmarkEnd w:id="64"/>
    </w:p>
    <w:p w14:paraId="5636372D">
      <w:pPr>
        <w:spacing w:line="300" w:lineRule="auto"/>
        <w:ind w:firstLine="640" w:firstLineChars="200"/>
        <w:rPr>
          <w:rFonts w:hint="eastAsia" w:eastAsia="方正仿宋_GBK"/>
          <w:sz w:val="32"/>
          <w:szCs w:val="32"/>
        </w:rPr>
      </w:pPr>
      <w:r>
        <w:rPr>
          <w:rFonts w:hint="eastAsia" w:eastAsia="方正仿宋_GBK"/>
          <w:sz w:val="32"/>
          <w:szCs w:val="32"/>
        </w:rPr>
        <w:t>应急指挥部办公室设立在市交通运输局，负责新街口地铁站地下空间应急管理的日常工作，市交通运输局分管负责人兼任办公室主任。主要职责如下：</w:t>
      </w:r>
    </w:p>
    <w:p w14:paraId="035C12CF">
      <w:pPr>
        <w:spacing w:line="300" w:lineRule="auto"/>
        <w:ind w:firstLine="640" w:firstLineChars="200"/>
        <w:rPr>
          <w:rFonts w:hint="eastAsia" w:eastAsia="方正仿宋_GBK"/>
          <w:sz w:val="32"/>
          <w:szCs w:val="32"/>
        </w:rPr>
      </w:pPr>
      <w:r>
        <w:rPr>
          <w:rFonts w:hint="eastAsia" w:eastAsia="方正仿宋_GBK"/>
          <w:sz w:val="32"/>
          <w:szCs w:val="32"/>
        </w:rPr>
        <w:t>（1）传达、贯彻应急指挥部的指示和部署，收集、汇总、分析、报送重要紧急信息。</w:t>
      </w:r>
    </w:p>
    <w:p w14:paraId="77F5D9D2">
      <w:pPr>
        <w:spacing w:line="300" w:lineRule="auto"/>
        <w:ind w:firstLine="640" w:firstLineChars="200"/>
        <w:rPr>
          <w:rFonts w:hint="eastAsia" w:eastAsia="方正仿宋_GBK"/>
          <w:sz w:val="32"/>
          <w:szCs w:val="32"/>
        </w:rPr>
      </w:pPr>
      <w:r>
        <w:rPr>
          <w:rFonts w:hint="eastAsia" w:eastAsia="方正仿宋_GBK"/>
          <w:sz w:val="32"/>
          <w:szCs w:val="32"/>
        </w:rPr>
        <w:t>（2）负责各应急救援职能部门的日常联系、协调。</w:t>
      </w:r>
    </w:p>
    <w:p w14:paraId="7D0975FF">
      <w:pPr>
        <w:spacing w:line="300" w:lineRule="auto"/>
        <w:ind w:firstLine="640" w:firstLineChars="200"/>
        <w:rPr>
          <w:rFonts w:hint="eastAsia" w:eastAsia="方正仿宋_GBK"/>
          <w:sz w:val="32"/>
          <w:szCs w:val="32"/>
        </w:rPr>
      </w:pPr>
      <w:r>
        <w:rPr>
          <w:rFonts w:hint="eastAsia" w:eastAsia="方正仿宋_GBK"/>
          <w:sz w:val="32"/>
          <w:szCs w:val="32"/>
        </w:rPr>
        <w:t>（3）收集、掌握事件动态信息，及时向应急指挥部报告。</w:t>
      </w:r>
    </w:p>
    <w:p w14:paraId="4F459D33">
      <w:pPr>
        <w:spacing w:line="300" w:lineRule="auto"/>
        <w:ind w:firstLine="640" w:firstLineChars="200"/>
        <w:rPr>
          <w:rFonts w:hint="eastAsia" w:eastAsia="方正仿宋_GBK"/>
          <w:sz w:val="32"/>
          <w:szCs w:val="32"/>
        </w:rPr>
      </w:pPr>
      <w:r>
        <w:rPr>
          <w:rFonts w:hint="eastAsia" w:eastAsia="方正仿宋_GBK"/>
          <w:sz w:val="32"/>
          <w:szCs w:val="32"/>
        </w:rPr>
        <w:t>（4）组织编制和修订新街口地铁站地下空间突发事件应急预案，督促指导市相关部门以及各区、各单位开展新街口地铁站地下空间突发事件应急处置的相关预案编制工作。</w:t>
      </w:r>
    </w:p>
    <w:p w14:paraId="6336A0B9">
      <w:pPr>
        <w:spacing w:line="300" w:lineRule="auto"/>
        <w:ind w:firstLine="640" w:firstLineChars="200"/>
        <w:rPr>
          <w:rFonts w:hint="eastAsia" w:eastAsia="方正仿宋_GBK"/>
          <w:sz w:val="32"/>
          <w:szCs w:val="32"/>
        </w:rPr>
      </w:pPr>
      <w:r>
        <w:rPr>
          <w:rFonts w:hint="eastAsia" w:eastAsia="方正仿宋_GBK"/>
          <w:sz w:val="32"/>
          <w:szCs w:val="32"/>
        </w:rPr>
        <w:t>（5）综合协调新街口地铁站地下空间突发事件应急演练、宣传培训等工作。</w:t>
      </w:r>
    </w:p>
    <w:p w14:paraId="05307114">
      <w:pPr>
        <w:spacing w:line="300" w:lineRule="auto"/>
        <w:ind w:firstLine="640" w:firstLineChars="200"/>
        <w:rPr>
          <w:rFonts w:hint="eastAsia" w:eastAsia="方正仿宋_GBK"/>
          <w:sz w:val="32"/>
          <w:szCs w:val="32"/>
        </w:rPr>
      </w:pPr>
      <w:r>
        <w:rPr>
          <w:rFonts w:hint="eastAsia" w:eastAsia="方正仿宋_GBK"/>
          <w:sz w:val="32"/>
          <w:szCs w:val="32"/>
        </w:rPr>
        <w:t>（6）参与相关突发事件的应急处置、调查评估等工作。</w:t>
      </w:r>
    </w:p>
    <w:p w14:paraId="15BECB14">
      <w:pPr>
        <w:spacing w:line="300" w:lineRule="auto"/>
        <w:ind w:firstLine="640" w:firstLineChars="200"/>
        <w:rPr>
          <w:rFonts w:hint="eastAsia" w:eastAsia="方正仿宋_GBK"/>
          <w:sz w:val="32"/>
          <w:szCs w:val="32"/>
        </w:rPr>
      </w:pPr>
      <w:r>
        <w:rPr>
          <w:rFonts w:hint="eastAsia" w:eastAsia="方正仿宋_GBK"/>
          <w:sz w:val="32"/>
          <w:szCs w:val="32"/>
        </w:rPr>
        <w:t>（7）承担应急指挥部交办的其他工作。</w:t>
      </w:r>
    </w:p>
    <w:p w14:paraId="43189755">
      <w:pPr>
        <w:spacing w:line="300" w:lineRule="auto"/>
        <w:ind w:firstLine="640" w:firstLineChars="200"/>
        <w:rPr>
          <w:rFonts w:hint="eastAsia" w:eastAsia="方正仿宋_GBK"/>
          <w:sz w:val="32"/>
          <w:szCs w:val="32"/>
        </w:rPr>
      </w:pPr>
      <w:bookmarkStart w:id="65" w:name="_Toc194395208"/>
      <w:bookmarkStart w:id="66" w:name="_Toc197669667"/>
      <w:bookmarkStart w:id="67" w:name="_Toc210837087"/>
      <w:r>
        <w:rPr>
          <w:rFonts w:hint="eastAsia" w:eastAsia="方正仿宋_GBK"/>
          <w:sz w:val="32"/>
          <w:szCs w:val="32"/>
        </w:rPr>
        <w:t>2.3  现场指挥</w:t>
      </w:r>
      <w:bookmarkEnd w:id="65"/>
      <w:bookmarkEnd w:id="66"/>
      <w:r>
        <w:rPr>
          <w:rFonts w:hint="eastAsia" w:eastAsia="方正仿宋_GBK"/>
          <w:sz w:val="32"/>
          <w:szCs w:val="32"/>
        </w:rPr>
        <w:t>机构</w:t>
      </w:r>
      <w:bookmarkEnd w:id="67"/>
    </w:p>
    <w:p w14:paraId="3BCEAE49">
      <w:pPr>
        <w:spacing w:line="300" w:lineRule="auto"/>
        <w:ind w:firstLine="640" w:firstLineChars="200"/>
        <w:rPr>
          <w:rFonts w:hint="eastAsia" w:eastAsia="方正仿宋_GBK"/>
          <w:sz w:val="32"/>
          <w:szCs w:val="32"/>
        </w:rPr>
      </w:pPr>
      <w:r>
        <w:rPr>
          <w:rFonts w:hint="eastAsia" w:eastAsia="方正仿宋_GBK"/>
          <w:sz w:val="32"/>
          <w:szCs w:val="32"/>
        </w:rPr>
        <w:t>发生突发事件后，应急指挥部根据需要设立现场指挥部，现场总指挥由应急指挥部总指挥指定。</w:t>
      </w:r>
    </w:p>
    <w:p w14:paraId="3EB3E157">
      <w:pPr>
        <w:spacing w:line="300" w:lineRule="auto"/>
        <w:ind w:firstLine="640" w:firstLineChars="200"/>
        <w:rPr>
          <w:rFonts w:hint="eastAsia" w:eastAsia="方正仿宋_GBK"/>
          <w:sz w:val="32"/>
          <w:szCs w:val="32"/>
        </w:rPr>
      </w:pPr>
      <w:r>
        <w:rPr>
          <w:rFonts w:hint="eastAsia" w:eastAsia="方正仿宋_GBK"/>
          <w:sz w:val="32"/>
          <w:szCs w:val="32"/>
        </w:rPr>
        <w:t>主要职责：</w:t>
      </w:r>
      <w:bookmarkStart w:id="68" w:name="_Hlk209175530"/>
      <w:bookmarkStart w:id="69" w:name="_Toc194395517"/>
      <w:bookmarkStart w:id="70" w:name="_Toc197669669"/>
      <w:bookmarkStart w:id="71" w:name="_Toc194395210"/>
    </w:p>
    <w:bookmarkEnd w:id="68"/>
    <w:bookmarkEnd w:id="69"/>
    <w:bookmarkEnd w:id="70"/>
    <w:bookmarkEnd w:id="71"/>
    <w:p w14:paraId="489B2B82">
      <w:pPr>
        <w:spacing w:line="300" w:lineRule="auto"/>
        <w:ind w:firstLine="640" w:firstLineChars="200"/>
        <w:rPr>
          <w:rFonts w:hint="eastAsia" w:eastAsia="方正仿宋_GBK"/>
          <w:sz w:val="32"/>
          <w:szCs w:val="32"/>
        </w:rPr>
      </w:pPr>
      <w:r>
        <w:rPr>
          <w:rFonts w:hint="eastAsia" w:eastAsia="方正仿宋_GBK"/>
          <w:sz w:val="32"/>
          <w:szCs w:val="32"/>
        </w:rPr>
        <w:t>（1）负责新街口地铁站地下空间突发事件现场应急救援的组织、指挥、协调工作。</w:t>
      </w:r>
    </w:p>
    <w:p w14:paraId="4688455E">
      <w:pPr>
        <w:spacing w:line="300" w:lineRule="auto"/>
        <w:ind w:firstLine="640" w:firstLineChars="200"/>
        <w:rPr>
          <w:rFonts w:hint="eastAsia" w:eastAsia="方正仿宋_GBK"/>
          <w:sz w:val="32"/>
          <w:szCs w:val="32"/>
        </w:rPr>
      </w:pPr>
      <w:r>
        <w:rPr>
          <w:rFonts w:hint="eastAsia" w:eastAsia="方正仿宋_GBK"/>
          <w:sz w:val="32"/>
          <w:szCs w:val="32"/>
        </w:rPr>
        <w:t>（2）分析新街口地铁站地下空间突发事件类型，评估潜在风险及连锁反应，研究制定突发事件应急防范与处置的具体措施。</w:t>
      </w:r>
    </w:p>
    <w:p w14:paraId="1CA7C205">
      <w:pPr>
        <w:spacing w:line="300" w:lineRule="auto"/>
        <w:ind w:firstLine="640" w:firstLineChars="200"/>
        <w:rPr>
          <w:rFonts w:hint="eastAsia" w:eastAsia="方正仿宋_GBK"/>
          <w:sz w:val="32"/>
          <w:szCs w:val="32"/>
        </w:rPr>
      </w:pPr>
      <w:r>
        <w:rPr>
          <w:rFonts w:hint="eastAsia" w:eastAsia="方正仿宋_GBK"/>
          <w:sz w:val="32"/>
          <w:szCs w:val="32"/>
        </w:rPr>
        <w:t>（3）组织现场各单位开展人员疏散、险情控制。</w:t>
      </w:r>
    </w:p>
    <w:p w14:paraId="53323610">
      <w:pPr>
        <w:spacing w:line="300" w:lineRule="auto"/>
        <w:ind w:firstLine="640" w:firstLineChars="200"/>
        <w:rPr>
          <w:rFonts w:hint="eastAsia" w:eastAsia="方正仿宋_GBK"/>
          <w:sz w:val="32"/>
          <w:szCs w:val="32"/>
        </w:rPr>
      </w:pPr>
      <w:r>
        <w:rPr>
          <w:rFonts w:hint="eastAsia" w:eastAsia="方正仿宋_GBK"/>
          <w:sz w:val="32"/>
          <w:szCs w:val="32"/>
        </w:rPr>
        <w:t>（4）实时汇总事件影响范围、人员伤亡、设施受损、处置进展等重要紧急信息。</w:t>
      </w:r>
    </w:p>
    <w:p w14:paraId="52AD6E41">
      <w:pPr>
        <w:spacing w:line="300" w:lineRule="auto"/>
        <w:ind w:firstLine="640" w:firstLineChars="200"/>
        <w:rPr>
          <w:rFonts w:hint="eastAsia" w:eastAsia="方正仿宋_GBK"/>
          <w:sz w:val="32"/>
          <w:szCs w:val="32"/>
        </w:rPr>
      </w:pPr>
      <w:r>
        <w:rPr>
          <w:rFonts w:hint="eastAsia" w:eastAsia="方正仿宋_GBK"/>
          <w:sz w:val="32"/>
          <w:szCs w:val="32"/>
        </w:rPr>
        <w:t>（5）向应急指挥部及时报告现场应急救援情况。</w:t>
      </w:r>
    </w:p>
    <w:p w14:paraId="7074F603">
      <w:pPr>
        <w:spacing w:line="300" w:lineRule="auto"/>
        <w:ind w:firstLine="640" w:firstLineChars="200"/>
        <w:rPr>
          <w:rFonts w:hint="eastAsia" w:eastAsia="方正仿宋_GBK"/>
          <w:sz w:val="32"/>
          <w:szCs w:val="32"/>
        </w:rPr>
      </w:pPr>
      <w:r>
        <w:rPr>
          <w:rFonts w:hint="eastAsia" w:eastAsia="方正仿宋_GBK"/>
          <w:sz w:val="32"/>
          <w:szCs w:val="32"/>
        </w:rPr>
        <w:t>（6）承办应急指挥部下达的其他工作任务。</w:t>
      </w:r>
    </w:p>
    <w:p w14:paraId="2C401D30">
      <w:pPr>
        <w:spacing w:line="300" w:lineRule="auto"/>
        <w:ind w:firstLine="640" w:firstLineChars="200"/>
        <w:rPr>
          <w:rFonts w:hint="eastAsia" w:eastAsia="方正仿宋_GBK"/>
          <w:sz w:val="32"/>
          <w:szCs w:val="32"/>
        </w:rPr>
      </w:pPr>
      <w:bookmarkStart w:id="72" w:name="_Toc194395211"/>
      <w:bookmarkStart w:id="73" w:name="_Toc197669670"/>
      <w:bookmarkStart w:id="74" w:name="_Toc194395518"/>
      <w:bookmarkStart w:id="75" w:name="_Toc210837088"/>
      <w:r>
        <w:rPr>
          <w:rFonts w:hint="eastAsia" w:eastAsia="方正仿宋_GBK"/>
          <w:sz w:val="32"/>
          <w:szCs w:val="32"/>
        </w:rPr>
        <w:t xml:space="preserve">2.4  </w:t>
      </w:r>
      <w:bookmarkEnd w:id="72"/>
      <w:bookmarkEnd w:id="73"/>
      <w:bookmarkEnd w:id="74"/>
      <w:r>
        <w:rPr>
          <w:rFonts w:hint="eastAsia" w:eastAsia="方正仿宋_GBK"/>
          <w:sz w:val="32"/>
          <w:szCs w:val="32"/>
        </w:rPr>
        <w:t>应急工作机构</w:t>
      </w:r>
      <w:bookmarkEnd w:id="75"/>
    </w:p>
    <w:p w14:paraId="13C88EDF">
      <w:pPr>
        <w:spacing w:line="300" w:lineRule="auto"/>
        <w:ind w:firstLine="640" w:firstLineChars="200"/>
        <w:rPr>
          <w:rFonts w:hint="eastAsia" w:eastAsia="方正仿宋_GBK"/>
          <w:sz w:val="32"/>
          <w:szCs w:val="32"/>
        </w:rPr>
      </w:pPr>
      <w:r>
        <w:rPr>
          <w:rFonts w:hint="eastAsia" w:eastAsia="方正仿宋_GBK"/>
          <w:sz w:val="32"/>
          <w:szCs w:val="32"/>
        </w:rPr>
        <w:t>现场指挥部可根据突发事件类型和现场应急处置工作需要设置统一规范、上下衔接、灵活高效的应急工作小组及牵头单位，一般可根据实际设置综合协调、抢险救援、警戒疏散、应急保障、医疗保障、信息发布、善后处置、调查处理等应急工作小组，由应急指挥部有关成员单位组成，承担相应工作职责，在现场指挥部的领导下负责相关应急处置工作。应急指挥部办公室协助现场指挥部协调各应急工作小组的处置工作。</w:t>
      </w:r>
    </w:p>
    <w:p w14:paraId="0D7050F7">
      <w:pPr>
        <w:spacing w:line="300" w:lineRule="auto"/>
        <w:ind w:firstLine="640" w:firstLineChars="200"/>
        <w:rPr>
          <w:rFonts w:hint="eastAsia" w:eastAsia="方正仿宋_GBK"/>
          <w:sz w:val="32"/>
          <w:szCs w:val="32"/>
        </w:rPr>
      </w:pPr>
      <w:bookmarkStart w:id="76" w:name="_Hlk198721425"/>
      <w:bookmarkStart w:id="77" w:name="_Hlk200622119"/>
      <w:r>
        <w:rPr>
          <w:rFonts w:hint="eastAsia" w:eastAsia="方正仿宋_GBK"/>
          <w:sz w:val="32"/>
          <w:szCs w:val="32"/>
        </w:rPr>
        <w:t>（1）综合协调组：由市交通运输局牵头，市委台湾工作办公室、市公安局、市民政局、市财政局、市发展和改革委员会、市城乡建设委员会、市商务局、市应急管理局、市政府外事办公室、事发地所在区政府等单位配合。负责现场指挥的综合协调、指令接收转发、信息收集上报、应急资源统筹与跨市协调等工作。</w:t>
      </w:r>
    </w:p>
    <w:p w14:paraId="4A2B1F64">
      <w:pPr>
        <w:spacing w:line="300" w:lineRule="auto"/>
        <w:ind w:firstLine="640" w:firstLineChars="200"/>
        <w:rPr>
          <w:rFonts w:hint="eastAsia" w:eastAsia="方正仿宋_GBK"/>
          <w:sz w:val="32"/>
          <w:szCs w:val="32"/>
        </w:rPr>
      </w:pPr>
      <w:r>
        <w:rPr>
          <w:rFonts w:hint="eastAsia" w:eastAsia="方正仿宋_GBK"/>
          <w:sz w:val="32"/>
          <w:szCs w:val="32"/>
        </w:rPr>
        <w:t>（2）抢险救援组：根据突发事件类型，由现场指挥部依法确定牵头单位，市应急管理局、市公安局、市消防救援支队、市生态环境局、市规划和自然资源局、市城乡建设委员会、市交通运输局、市水务局、市国有资产监督管理委员会、市市场监督管理局、市国防动员办公室、事发地所在区政府、南京地铁集团、南京城建集团等单位参与。负责组织应急抢险队伍，实施人员搜救、险情处置、火灾扑救、基础设施抢修、污染物控制以及现场清理等工作。</w:t>
      </w:r>
    </w:p>
    <w:p w14:paraId="27182238">
      <w:pPr>
        <w:spacing w:line="300" w:lineRule="auto"/>
        <w:ind w:firstLine="640" w:firstLineChars="200"/>
        <w:rPr>
          <w:rFonts w:hint="eastAsia" w:eastAsia="方正仿宋_GBK"/>
          <w:sz w:val="32"/>
          <w:szCs w:val="32"/>
        </w:rPr>
      </w:pPr>
      <w:r>
        <w:rPr>
          <w:rFonts w:hint="eastAsia" w:eastAsia="方正仿宋_GBK"/>
          <w:sz w:val="32"/>
          <w:szCs w:val="32"/>
        </w:rPr>
        <w:t>（3）警戒疏散组：由市公安局牵头，市交通运输局、市应急管理局、事发地所在区政府、南京地铁集团、南京城建集团等单位配合。负责现场治安秩序维护、重要设施人员保护，组织现场警戒、交通疏导、群众疏散，视情实施区域交通管制。</w:t>
      </w:r>
    </w:p>
    <w:p w14:paraId="76C39550">
      <w:pPr>
        <w:spacing w:line="300" w:lineRule="auto"/>
        <w:ind w:firstLine="640" w:firstLineChars="200"/>
        <w:rPr>
          <w:rFonts w:hint="eastAsia" w:eastAsia="方正仿宋_GBK"/>
          <w:sz w:val="32"/>
          <w:szCs w:val="32"/>
        </w:rPr>
      </w:pPr>
      <w:r>
        <w:rPr>
          <w:rFonts w:hint="eastAsia" w:eastAsia="方正仿宋_GBK"/>
          <w:sz w:val="32"/>
          <w:szCs w:val="32"/>
        </w:rPr>
        <w:t>（4）应急保障组：由市交通运输局牵头，市工业和信息化局、市公安局、市财政局、市城市管理局、南京通信行业管理办公室、事发地所在区政府、南京地铁集团、南京城建集团、南京供电公司等单位配合。负责应急物资征集运送、应急运力保障、通讯联络保障、地铁运营与周边市容环境秩序维护工作。</w:t>
      </w:r>
    </w:p>
    <w:p w14:paraId="53C76316">
      <w:pPr>
        <w:spacing w:line="300" w:lineRule="auto"/>
        <w:ind w:firstLine="640" w:firstLineChars="200"/>
        <w:rPr>
          <w:rFonts w:hint="eastAsia" w:eastAsia="方正仿宋_GBK"/>
          <w:sz w:val="32"/>
          <w:szCs w:val="32"/>
        </w:rPr>
      </w:pPr>
      <w:r>
        <w:rPr>
          <w:rFonts w:hint="eastAsia" w:eastAsia="方正仿宋_GBK"/>
          <w:sz w:val="32"/>
          <w:szCs w:val="32"/>
        </w:rPr>
        <w:t>（5）医疗保障组：由市卫生健康委员会牵头，市急救中心、疾控中心及相关医疗机构配合。负责现场伤员的转运、分流、救治等医疗应急救援工作，统计伤员救治信息并上报至应急指挥部。</w:t>
      </w:r>
    </w:p>
    <w:p w14:paraId="529EC12B">
      <w:pPr>
        <w:spacing w:line="300" w:lineRule="auto"/>
        <w:ind w:firstLine="640" w:firstLineChars="200"/>
        <w:rPr>
          <w:rFonts w:hint="eastAsia" w:eastAsia="方正仿宋_GBK"/>
          <w:sz w:val="32"/>
          <w:szCs w:val="32"/>
        </w:rPr>
      </w:pPr>
      <w:r>
        <w:rPr>
          <w:rFonts w:hint="eastAsia" w:eastAsia="方正仿宋_GBK"/>
          <w:sz w:val="32"/>
          <w:szCs w:val="32"/>
        </w:rPr>
        <w:t>（6）信息发布组：由市委宣传部牵头，市委网络安全和信息化委员会办公室、市公安局、市规划和自然资源局、市交通运输局、市水务局、市应急管理局、市气象局、南京地铁集团、南京城建集团等单位配合。负责突发事件信息收集发布、舆情监测引导以及新闻宣传报道等工作。</w:t>
      </w:r>
    </w:p>
    <w:p w14:paraId="408E65B5">
      <w:pPr>
        <w:spacing w:line="300" w:lineRule="auto"/>
        <w:ind w:firstLine="640" w:firstLineChars="200"/>
        <w:rPr>
          <w:rFonts w:hint="eastAsia" w:eastAsia="方正仿宋_GBK"/>
          <w:sz w:val="32"/>
          <w:szCs w:val="32"/>
        </w:rPr>
      </w:pPr>
      <w:r>
        <w:rPr>
          <w:rFonts w:hint="eastAsia" w:eastAsia="方正仿宋_GBK"/>
          <w:sz w:val="32"/>
          <w:szCs w:val="32"/>
        </w:rPr>
        <w:t>（7）善后处置组：由事发地区人民政府牵头，市公安局、市民政局、市财政局、市生态环境局、市城乡建设委员会、市交通运输局、市应急管理局等单位配合。负责灾后人员安置、保险理赔、环境恢复、工程重建等善后工作。</w:t>
      </w:r>
    </w:p>
    <w:bookmarkEnd w:id="76"/>
    <w:p w14:paraId="5B735FA4">
      <w:pPr>
        <w:spacing w:line="300" w:lineRule="auto"/>
        <w:ind w:firstLine="640" w:firstLineChars="200"/>
        <w:rPr>
          <w:rFonts w:hint="eastAsia" w:eastAsia="方正仿宋_GBK"/>
          <w:sz w:val="32"/>
          <w:szCs w:val="32"/>
        </w:rPr>
      </w:pPr>
      <w:r>
        <w:rPr>
          <w:rFonts w:hint="eastAsia" w:eastAsia="方正仿宋_GBK"/>
          <w:sz w:val="32"/>
          <w:szCs w:val="32"/>
        </w:rPr>
        <w:t>（8）调查处理组：根据事故分类和性质，由应急指挥部依法指定有关部门组成，负责对突发事件进行调查处理。</w:t>
      </w:r>
      <w:bookmarkStart w:id="78" w:name="_Toc197669671"/>
      <w:bookmarkStart w:id="79" w:name="_Toc194395212"/>
    </w:p>
    <w:bookmarkEnd w:id="77"/>
    <w:p w14:paraId="21095855">
      <w:pPr>
        <w:spacing w:line="300" w:lineRule="auto"/>
        <w:ind w:firstLine="640" w:firstLineChars="200"/>
        <w:rPr>
          <w:rFonts w:hint="eastAsia" w:eastAsia="方正仿宋_GBK"/>
          <w:sz w:val="32"/>
          <w:szCs w:val="32"/>
        </w:rPr>
      </w:pPr>
      <w:bookmarkStart w:id="80" w:name="_Toc210837089"/>
      <w:r>
        <w:rPr>
          <w:rFonts w:hint="eastAsia" w:eastAsia="方正仿宋_GBK"/>
          <w:sz w:val="32"/>
          <w:szCs w:val="32"/>
        </w:rPr>
        <w:t xml:space="preserve">2.5  </w:t>
      </w:r>
      <w:bookmarkEnd w:id="78"/>
      <w:bookmarkEnd w:id="79"/>
      <w:r>
        <w:rPr>
          <w:rFonts w:hint="eastAsia" w:eastAsia="方正仿宋_GBK"/>
          <w:sz w:val="32"/>
          <w:szCs w:val="32"/>
        </w:rPr>
        <w:t>专家咨询机构</w:t>
      </w:r>
      <w:bookmarkEnd w:id="80"/>
    </w:p>
    <w:p w14:paraId="0DB66E38">
      <w:pPr>
        <w:spacing w:line="300" w:lineRule="auto"/>
        <w:ind w:firstLine="640" w:firstLineChars="200"/>
        <w:rPr>
          <w:rFonts w:hint="eastAsia" w:eastAsia="方正仿宋_GBK"/>
          <w:sz w:val="32"/>
          <w:szCs w:val="32"/>
        </w:rPr>
      </w:pPr>
      <w:r>
        <w:rPr>
          <w:rFonts w:hint="eastAsia" w:eastAsia="方正仿宋_GBK"/>
          <w:sz w:val="32"/>
          <w:szCs w:val="32"/>
        </w:rPr>
        <w:t>应急指挥部办公室根据事态发展情况，组织聘请有关专家组成专家咨询组，负责对应急准备、应急行动、响应终止和后期评估提供专业咨询和建议，解决应急过程中的技术难题，根据需要参与突发事件的应急处置工作。</w:t>
      </w:r>
      <w:bookmarkStart w:id="81" w:name="_Toc197669672"/>
      <w:bookmarkStart w:id="82" w:name="_Toc194395213"/>
    </w:p>
    <w:p w14:paraId="74FBFABC">
      <w:pPr>
        <w:spacing w:line="300" w:lineRule="auto"/>
        <w:ind w:firstLine="640" w:firstLineChars="200"/>
        <w:rPr>
          <w:rFonts w:hint="eastAsia" w:ascii="方正黑体_GBK" w:eastAsia="方正黑体_GBK"/>
          <w:sz w:val="32"/>
          <w:szCs w:val="32"/>
        </w:rPr>
      </w:pPr>
      <w:bookmarkStart w:id="83" w:name="_Toc210837090"/>
      <w:r>
        <w:rPr>
          <w:rFonts w:hint="eastAsia" w:ascii="方正黑体_GBK" w:eastAsia="方正黑体_GBK"/>
          <w:sz w:val="32"/>
          <w:szCs w:val="32"/>
        </w:rPr>
        <w:t>3  预防与预警</w:t>
      </w:r>
      <w:bookmarkEnd w:id="81"/>
      <w:bookmarkEnd w:id="82"/>
      <w:bookmarkEnd w:id="83"/>
    </w:p>
    <w:p w14:paraId="27CC3818">
      <w:pPr>
        <w:spacing w:line="300" w:lineRule="auto"/>
        <w:ind w:firstLine="640" w:firstLineChars="200"/>
        <w:rPr>
          <w:rFonts w:hint="eastAsia" w:eastAsia="方正仿宋_GBK"/>
          <w:sz w:val="32"/>
          <w:szCs w:val="32"/>
        </w:rPr>
      </w:pPr>
      <w:bookmarkStart w:id="84" w:name="_Toc197669673"/>
      <w:bookmarkStart w:id="85" w:name="_Toc194395214"/>
      <w:bookmarkStart w:id="86" w:name="_Toc210837091"/>
      <w:r>
        <w:rPr>
          <w:rFonts w:hint="eastAsia" w:eastAsia="方正仿宋_GBK"/>
          <w:sz w:val="32"/>
          <w:szCs w:val="32"/>
        </w:rPr>
        <w:t xml:space="preserve">3.1  </w:t>
      </w:r>
      <w:bookmarkEnd w:id="84"/>
      <w:bookmarkEnd w:id="85"/>
      <w:r>
        <w:rPr>
          <w:rFonts w:hint="eastAsia" w:eastAsia="方正仿宋_GBK"/>
          <w:sz w:val="32"/>
          <w:szCs w:val="32"/>
        </w:rPr>
        <w:t>信息监测</w:t>
      </w:r>
      <w:bookmarkEnd w:id="86"/>
    </w:p>
    <w:p w14:paraId="65229BFE">
      <w:pPr>
        <w:spacing w:line="300" w:lineRule="auto"/>
        <w:ind w:firstLine="640" w:firstLineChars="200"/>
        <w:rPr>
          <w:rFonts w:hint="eastAsia" w:eastAsia="方正仿宋_GBK"/>
          <w:sz w:val="32"/>
          <w:szCs w:val="32"/>
        </w:rPr>
      </w:pPr>
      <w:r>
        <w:rPr>
          <w:rFonts w:hint="eastAsia" w:eastAsia="方正仿宋_GBK"/>
          <w:sz w:val="32"/>
          <w:szCs w:val="32"/>
        </w:rPr>
        <w:t>（1）地铁运营单位负责日常突发事件的监测、预警工作，建立监测体系和安全运行机制，定期对新街口地铁站地下空间进行检查监测和隐患排查，对其安全状况进行汇总分析。</w:t>
      </w:r>
    </w:p>
    <w:p w14:paraId="6D8B5F11">
      <w:pPr>
        <w:spacing w:line="300" w:lineRule="auto"/>
        <w:ind w:firstLine="640" w:firstLineChars="200"/>
        <w:rPr>
          <w:rFonts w:hint="eastAsia" w:eastAsia="方正仿宋_GBK"/>
          <w:sz w:val="32"/>
          <w:szCs w:val="32"/>
        </w:rPr>
      </w:pPr>
      <w:r>
        <w:rPr>
          <w:rFonts w:hint="eastAsia" w:eastAsia="方正仿宋_GBK"/>
          <w:sz w:val="32"/>
          <w:szCs w:val="32"/>
        </w:rPr>
        <w:t>（2）市气象局、市水务局、市规划和自然资源局等部门应加强暴雨、城市内涝、地质灾害的监测预报，发现影响新街口地铁站地下空间的自然灾害信息时，应及时将结果上报应急指挥部，并按权限向社会发布相关信息。</w:t>
      </w:r>
    </w:p>
    <w:p w14:paraId="78E792E8">
      <w:pPr>
        <w:spacing w:line="300" w:lineRule="auto"/>
        <w:ind w:firstLine="640" w:firstLineChars="200"/>
        <w:rPr>
          <w:rFonts w:hint="eastAsia" w:eastAsia="方正仿宋_GBK"/>
          <w:sz w:val="32"/>
          <w:szCs w:val="32"/>
        </w:rPr>
      </w:pPr>
      <w:r>
        <w:rPr>
          <w:rFonts w:hint="eastAsia" w:eastAsia="方正仿宋_GBK"/>
          <w:sz w:val="32"/>
          <w:szCs w:val="32"/>
        </w:rPr>
        <w:t>（3）应急指挥部办公室负责及时收集、分析、汇总新街口地铁站地下空间突发事件日常信息。</w:t>
      </w:r>
    </w:p>
    <w:p w14:paraId="6DD1B2C4">
      <w:pPr>
        <w:spacing w:line="300" w:lineRule="auto"/>
        <w:ind w:firstLine="640" w:firstLineChars="200"/>
        <w:rPr>
          <w:rFonts w:hint="eastAsia" w:eastAsia="方正仿宋_GBK"/>
          <w:sz w:val="32"/>
          <w:szCs w:val="32"/>
        </w:rPr>
      </w:pPr>
      <w:bookmarkStart w:id="87" w:name="_Toc194395215"/>
      <w:bookmarkStart w:id="88" w:name="_Toc210837092"/>
      <w:bookmarkStart w:id="89" w:name="_Toc197669674"/>
      <w:r>
        <w:rPr>
          <w:rFonts w:hint="eastAsia" w:eastAsia="方正仿宋_GBK"/>
          <w:sz w:val="32"/>
          <w:szCs w:val="32"/>
        </w:rPr>
        <w:t>3.2  预警</w:t>
      </w:r>
      <w:bookmarkEnd w:id="87"/>
      <w:bookmarkEnd w:id="88"/>
      <w:bookmarkEnd w:id="89"/>
    </w:p>
    <w:p w14:paraId="424EA284">
      <w:pPr>
        <w:spacing w:line="300" w:lineRule="auto"/>
        <w:ind w:firstLine="640" w:firstLineChars="200"/>
        <w:rPr>
          <w:rFonts w:hint="eastAsia" w:eastAsia="方正仿宋_GBK"/>
          <w:sz w:val="32"/>
          <w:szCs w:val="32"/>
        </w:rPr>
      </w:pPr>
      <w:bookmarkStart w:id="90" w:name="_Toc194395523"/>
      <w:bookmarkStart w:id="91" w:name="_Toc210837093"/>
      <w:bookmarkStart w:id="92" w:name="_Toc197669675"/>
      <w:bookmarkStart w:id="93" w:name="_Toc194395216"/>
      <w:r>
        <w:rPr>
          <w:rFonts w:hint="eastAsia" w:eastAsia="方正仿宋_GBK"/>
          <w:sz w:val="32"/>
          <w:szCs w:val="32"/>
        </w:rPr>
        <w:t>3.2.1  预警级别</w:t>
      </w:r>
      <w:bookmarkEnd w:id="90"/>
      <w:bookmarkEnd w:id="91"/>
      <w:bookmarkEnd w:id="92"/>
      <w:bookmarkEnd w:id="93"/>
    </w:p>
    <w:p w14:paraId="6BE09AA9">
      <w:pPr>
        <w:spacing w:line="300" w:lineRule="auto"/>
        <w:ind w:firstLine="640" w:firstLineChars="200"/>
        <w:rPr>
          <w:rFonts w:hint="eastAsia" w:eastAsia="方正仿宋_GBK"/>
          <w:sz w:val="32"/>
          <w:szCs w:val="32"/>
        </w:rPr>
      </w:pPr>
      <w:bookmarkStart w:id="94" w:name="_Hlk205477901"/>
      <w:r>
        <w:rPr>
          <w:rFonts w:hint="eastAsia" w:eastAsia="方正仿宋_GBK"/>
          <w:sz w:val="32"/>
          <w:szCs w:val="32"/>
        </w:rPr>
        <w:t>新街口地铁站地下空间应急预警级别由高到低划分为一级、二级、三级、四级，分别用红色、橙色、黄色、蓝色标示，以下情形发生后，经应急指挥部综合研判，对新街口地铁站地下空间群众出行活动造成影响的，启动相应防御响应。</w:t>
      </w:r>
    </w:p>
    <w:p w14:paraId="413882C3">
      <w:pPr>
        <w:spacing w:line="300" w:lineRule="auto"/>
        <w:ind w:firstLine="640" w:firstLineChars="200"/>
        <w:rPr>
          <w:rFonts w:hint="eastAsia" w:eastAsia="方正仿宋_GBK"/>
          <w:sz w:val="32"/>
          <w:szCs w:val="32"/>
        </w:rPr>
      </w:pPr>
      <w:r>
        <w:rPr>
          <w:rFonts w:hint="eastAsia" w:eastAsia="方正仿宋_GBK"/>
          <w:sz w:val="32"/>
          <w:szCs w:val="32"/>
        </w:rPr>
        <w:t>一级预警（红色）：</w:t>
      </w:r>
    </w:p>
    <w:p w14:paraId="79576A3A">
      <w:pPr>
        <w:spacing w:line="300" w:lineRule="auto"/>
        <w:ind w:firstLine="640" w:firstLineChars="200"/>
        <w:rPr>
          <w:rFonts w:hint="eastAsia" w:eastAsia="方正仿宋_GBK"/>
          <w:sz w:val="32"/>
          <w:szCs w:val="32"/>
        </w:rPr>
      </w:pPr>
      <w:r>
        <w:rPr>
          <w:rFonts w:hint="eastAsia" w:eastAsia="方正仿宋_GBK"/>
          <w:sz w:val="32"/>
          <w:szCs w:val="32"/>
        </w:rPr>
        <w:t>（1）预测15分钟内新街口地铁站1号线与2号线进出闸客流量达到高度拥挤水平（预估22500人次以上）。</w:t>
      </w:r>
    </w:p>
    <w:p w14:paraId="2CBA0AB0">
      <w:pPr>
        <w:spacing w:line="300" w:lineRule="auto"/>
        <w:ind w:firstLine="640" w:firstLineChars="200"/>
        <w:rPr>
          <w:rFonts w:hint="eastAsia" w:eastAsia="方正仿宋_GBK"/>
          <w:sz w:val="32"/>
          <w:szCs w:val="32"/>
        </w:rPr>
      </w:pPr>
      <w:r>
        <w:rPr>
          <w:rFonts w:hint="eastAsia" w:eastAsia="方正仿宋_GBK"/>
          <w:sz w:val="32"/>
          <w:szCs w:val="32"/>
        </w:rPr>
        <w:t>（2）因强降雨或地下空间内涝，导致新街口地铁站任一出入口外积水已涨至该出入口最高台阶顶端；或车站外部有大量积水，且积水通过出入口、风亭、风井、设备房门窗等开口倒灌进入车站。</w:t>
      </w:r>
    </w:p>
    <w:p w14:paraId="1219E472">
      <w:pPr>
        <w:spacing w:line="300" w:lineRule="auto"/>
        <w:ind w:firstLine="640" w:firstLineChars="200"/>
        <w:rPr>
          <w:rFonts w:hint="eastAsia" w:eastAsia="方正仿宋_GBK"/>
          <w:sz w:val="32"/>
          <w:szCs w:val="32"/>
        </w:rPr>
      </w:pPr>
      <w:r>
        <w:rPr>
          <w:rFonts w:hint="eastAsia" w:eastAsia="方正仿宋_GBK"/>
          <w:sz w:val="32"/>
          <w:szCs w:val="32"/>
        </w:rPr>
        <w:t>（3）预计将发生新街口地铁站地下空间特别重大级别突发事件，事件影响正在扩大蔓延。</w:t>
      </w:r>
    </w:p>
    <w:p w14:paraId="4EDF795D">
      <w:pPr>
        <w:spacing w:line="300" w:lineRule="auto"/>
        <w:ind w:firstLine="640" w:firstLineChars="200"/>
        <w:rPr>
          <w:rFonts w:hint="eastAsia" w:eastAsia="方正仿宋_GBK"/>
          <w:sz w:val="32"/>
          <w:szCs w:val="32"/>
        </w:rPr>
      </w:pPr>
      <w:r>
        <w:rPr>
          <w:rFonts w:hint="eastAsia" w:eastAsia="方正仿宋_GBK"/>
          <w:sz w:val="32"/>
          <w:szCs w:val="32"/>
        </w:rPr>
        <w:t>二级预警（橙色）：</w:t>
      </w:r>
    </w:p>
    <w:p w14:paraId="0D6CBBFE">
      <w:pPr>
        <w:spacing w:line="300" w:lineRule="auto"/>
        <w:ind w:firstLine="640" w:firstLineChars="200"/>
        <w:rPr>
          <w:rFonts w:hint="eastAsia" w:eastAsia="方正仿宋_GBK"/>
          <w:sz w:val="32"/>
          <w:szCs w:val="32"/>
        </w:rPr>
      </w:pPr>
      <w:r>
        <w:rPr>
          <w:rFonts w:hint="eastAsia" w:eastAsia="方正仿宋_GBK"/>
          <w:sz w:val="32"/>
          <w:szCs w:val="32"/>
        </w:rPr>
        <w:t>（1）预测15分钟内新街口地铁站1号线与2号线进出闸客流量达到中度拥挤水平（预估18000人次以上，22500人次以下）。</w:t>
      </w:r>
    </w:p>
    <w:p w14:paraId="3AAFA569">
      <w:pPr>
        <w:spacing w:line="300" w:lineRule="auto"/>
        <w:ind w:firstLine="640" w:firstLineChars="200"/>
        <w:rPr>
          <w:rFonts w:hint="eastAsia" w:eastAsia="方正仿宋_GBK"/>
          <w:sz w:val="32"/>
          <w:szCs w:val="32"/>
        </w:rPr>
      </w:pPr>
      <w:r>
        <w:rPr>
          <w:rFonts w:hint="eastAsia" w:eastAsia="方正仿宋_GBK"/>
          <w:sz w:val="32"/>
          <w:szCs w:val="32"/>
        </w:rPr>
        <w:t>（2）因强降雨或地下空间内涝，导致新街口地铁站任一出入口外出现大量积水，且水位达到该出入口最高一级台阶底部（出入口设有台阶），或积水覆盖了出入口外的市政道路台阶（出入口未设台阶）。</w:t>
      </w:r>
    </w:p>
    <w:p w14:paraId="1CB0DA37">
      <w:pPr>
        <w:spacing w:line="300" w:lineRule="auto"/>
        <w:ind w:firstLine="640" w:firstLineChars="200"/>
        <w:rPr>
          <w:rFonts w:hint="eastAsia" w:eastAsia="方正仿宋_GBK"/>
          <w:sz w:val="32"/>
          <w:szCs w:val="32"/>
        </w:rPr>
      </w:pPr>
      <w:r>
        <w:rPr>
          <w:rFonts w:hint="eastAsia" w:eastAsia="方正仿宋_GBK"/>
          <w:sz w:val="32"/>
          <w:szCs w:val="32"/>
        </w:rPr>
        <w:t>（3）预计将发生新街口地铁站地下空间重大级别突发事件，事件影响正在扩大。</w:t>
      </w:r>
    </w:p>
    <w:p w14:paraId="1D0628EB">
      <w:pPr>
        <w:spacing w:line="300" w:lineRule="auto"/>
        <w:ind w:firstLine="640" w:firstLineChars="200"/>
        <w:rPr>
          <w:rFonts w:hint="eastAsia" w:eastAsia="方正仿宋_GBK"/>
          <w:sz w:val="32"/>
          <w:szCs w:val="32"/>
        </w:rPr>
      </w:pPr>
      <w:r>
        <w:rPr>
          <w:rFonts w:hint="eastAsia" w:eastAsia="方正仿宋_GBK"/>
          <w:sz w:val="32"/>
          <w:szCs w:val="32"/>
        </w:rPr>
        <w:t>三级预警（黄色）：</w:t>
      </w:r>
    </w:p>
    <w:p w14:paraId="0BC99253">
      <w:pPr>
        <w:spacing w:line="300" w:lineRule="auto"/>
        <w:ind w:firstLine="640" w:firstLineChars="200"/>
        <w:rPr>
          <w:rFonts w:hint="eastAsia" w:eastAsia="方正仿宋_GBK"/>
          <w:sz w:val="32"/>
          <w:szCs w:val="32"/>
        </w:rPr>
      </w:pPr>
      <w:r>
        <w:rPr>
          <w:rFonts w:hint="eastAsia" w:eastAsia="方正仿宋_GBK"/>
          <w:sz w:val="32"/>
          <w:szCs w:val="32"/>
        </w:rPr>
        <w:t>（1）预测15分钟内新街口地铁站1号线与2号线进出闸客流量达到一般拥挤水平（预估12300人次以上，18000人次以下）。</w:t>
      </w:r>
    </w:p>
    <w:p w14:paraId="766BE2B7">
      <w:pPr>
        <w:spacing w:line="300" w:lineRule="auto"/>
        <w:ind w:firstLine="640" w:firstLineChars="200"/>
        <w:rPr>
          <w:rFonts w:hint="eastAsia" w:eastAsia="方正仿宋_GBK"/>
          <w:sz w:val="32"/>
          <w:szCs w:val="32"/>
        </w:rPr>
      </w:pPr>
      <w:r>
        <w:rPr>
          <w:rFonts w:hint="eastAsia" w:eastAsia="方正仿宋_GBK"/>
          <w:sz w:val="32"/>
          <w:szCs w:val="32"/>
        </w:rPr>
        <w:t>（2）因强降雨或地下空间内涝，导致新街口地铁站地下空间大面积积水，且对人员出行活动造成较大影响。</w:t>
      </w:r>
    </w:p>
    <w:p w14:paraId="673D8D29">
      <w:pPr>
        <w:spacing w:line="300" w:lineRule="auto"/>
        <w:ind w:firstLine="640" w:firstLineChars="200"/>
        <w:rPr>
          <w:rFonts w:hint="eastAsia" w:eastAsia="方正仿宋_GBK"/>
          <w:sz w:val="32"/>
          <w:szCs w:val="32"/>
        </w:rPr>
      </w:pPr>
      <w:r>
        <w:rPr>
          <w:rFonts w:hint="eastAsia" w:eastAsia="方正仿宋_GBK"/>
          <w:sz w:val="32"/>
          <w:szCs w:val="32"/>
        </w:rPr>
        <w:t>（3）预计将发生新街口地铁站地下空间较大级别突发事件，事件影响有扩大趋势。</w:t>
      </w:r>
    </w:p>
    <w:p w14:paraId="747448BC">
      <w:pPr>
        <w:spacing w:line="300" w:lineRule="auto"/>
        <w:ind w:firstLine="640" w:firstLineChars="200"/>
        <w:rPr>
          <w:rFonts w:hint="eastAsia" w:eastAsia="方正仿宋_GBK"/>
          <w:sz w:val="32"/>
          <w:szCs w:val="32"/>
        </w:rPr>
      </w:pPr>
      <w:bookmarkStart w:id="95" w:name="_Hlk201076675"/>
      <w:r>
        <w:rPr>
          <w:rFonts w:hint="eastAsia" w:eastAsia="方正仿宋_GBK"/>
          <w:sz w:val="32"/>
          <w:szCs w:val="32"/>
        </w:rPr>
        <w:t>四级预警（蓝色）：</w:t>
      </w:r>
    </w:p>
    <w:p w14:paraId="2CD2E2FE">
      <w:pPr>
        <w:spacing w:line="300" w:lineRule="auto"/>
        <w:ind w:firstLine="640" w:firstLineChars="200"/>
        <w:rPr>
          <w:rFonts w:hint="eastAsia" w:eastAsia="方正仿宋_GBK"/>
          <w:sz w:val="32"/>
          <w:szCs w:val="32"/>
        </w:rPr>
      </w:pPr>
      <w:r>
        <w:rPr>
          <w:rFonts w:hint="eastAsia" w:eastAsia="方正仿宋_GBK"/>
          <w:sz w:val="32"/>
          <w:szCs w:val="32"/>
        </w:rPr>
        <w:t>（1）预测15分钟内新街口地铁站1号线与2号线进出闸客流量达到轻度拥挤水平（预估8590人次以上，12300人次以下）。</w:t>
      </w:r>
    </w:p>
    <w:p w14:paraId="336E161E">
      <w:pPr>
        <w:spacing w:line="300" w:lineRule="auto"/>
        <w:ind w:firstLine="640" w:firstLineChars="200"/>
        <w:rPr>
          <w:rFonts w:hint="eastAsia" w:eastAsia="方正仿宋_GBK"/>
          <w:sz w:val="32"/>
          <w:szCs w:val="32"/>
        </w:rPr>
      </w:pPr>
      <w:r>
        <w:rPr>
          <w:rFonts w:hint="eastAsia" w:eastAsia="方正仿宋_GBK"/>
          <w:sz w:val="32"/>
          <w:szCs w:val="32"/>
        </w:rPr>
        <w:t>（2）因强降雨或地下空间内涝，导致新街口地铁站地下空间部分区域出现积水，且对人员出行活动造成一定影响。</w:t>
      </w:r>
    </w:p>
    <w:p w14:paraId="42CD1CEB">
      <w:pPr>
        <w:spacing w:line="300" w:lineRule="auto"/>
        <w:ind w:firstLine="640" w:firstLineChars="200"/>
        <w:rPr>
          <w:rFonts w:hint="eastAsia" w:eastAsia="方正仿宋_GBK"/>
          <w:sz w:val="32"/>
          <w:szCs w:val="32"/>
        </w:rPr>
      </w:pPr>
      <w:r>
        <w:rPr>
          <w:rFonts w:hint="eastAsia" w:eastAsia="方正仿宋_GBK"/>
          <w:sz w:val="32"/>
          <w:szCs w:val="32"/>
        </w:rPr>
        <w:t>（3）预计将发生新街口地铁站地下空间一般级别突发事件，事件影响可能扩大。</w:t>
      </w:r>
    </w:p>
    <w:bookmarkEnd w:id="95"/>
    <w:p w14:paraId="65230A7B">
      <w:pPr>
        <w:spacing w:line="300" w:lineRule="auto"/>
        <w:ind w:firstLine="640" w:firstLineChars="200"/>
        <w:rPr>
          <w:rFonts w:hint="eastAsia" w:eastAsia="方正仿宋_GBK"/>
          <w:sz w:val="32"/>
          <w:szCs w:val="32"/>
        </w:rPr>
      </w:pPr>
      <w:bookmarkStart w:id="96" w:name="_Toc197669676"/>
      <w:bookmarkStart w:id="97" w:name="_Toc194395524"/>
      <w:bookmarkStart w:id="98" w:name="_Toc210837094"/>
      <w:bookmarkStart w:id="99" w:name="_Toc194395217"/>
      <w:r>
        <w:rPr>
          <w:rFonts w:hint="eastAsia" w:eastAsia="方正仿宋_GBK"/>
          <w:sz w:val="32"/>
          <w:szCs w:val="32"/>
        </w:rPr>
        <w:t>3.2.2  预警发布</w:t>
      </w:r>
      <w:bookmarkEnd w:id="96"/>
      <w:bookmarkEnd w:id="97"/>
      <w:bookmarkEnd w:id="98"/>
      <w:bookmarkEnd w:id="99"/>
    </w:p>
    <w:p w14:paraId="3594D691">
      <w:pPr>
        <w:spacing w:line="300" w:lineRule="auto"/>
        <w:ind w:firstLine="640" w:firstLineChars="200"/>
        <w:rPr>
          <w:rFonts w:hint="eastAsia" w:eastAsia="方正仿宋_GBK"/>
          <w:sz w:val="32"/>
          <w:szCs w:val="32"/>
        </w:rPr>
      </w:pPr>
      <w:r>
        <w:rPr>
          <w:rFonts w:hint="eastAsia" w:eastAsia="方正仿宋_GBK"/>
          <w:sz w:val="32"/>
          <w:szCs w:val="32"/>
        </w:rPr>
        <w:t>一级（红色）、二级（橙色）预警信息的发布，由应急指挥部办公室报请应急指挥部同意后，根据授权组织对外发布。</w:t>
      </w:r>
    </w:p>
    <w:p w14:paraId="330EF5A1">
      <w:pPr>
        <w:spacing w:line="300" w:lineRule="auto"/>
        <w:ind w:firstLine="640" w:firstLineChars="200"/>
        <w:rPr>
          <w:rFonts w:hint="eastAsia" w:eastAsia="方正仿宋_GBK"/>
          <w:sz w:val="32"/>
          <w:szCs w:val="32"/>
        </w:rPr>
      </w:pPr>
      <w:r>
        <w:rPr>
          <w:rFonts w:hint="eastAsia" w:eastAsia="方正仿宋_GBK"/>
          <w:sz w:val="32"/>
          <w:szCs w:val="32"/>
        </w:rPr>
        <w:t>三级（黄色）、四级（蓝色）预警信息的发布，由地铁运营单位报请应急指挥部办公室同意后，视情组织对外发布。</w:t>
      </w:r>
    </w:p>
    <w:p w14:paraId="1917513B">
      <w:pPr>
        <w:spacing w:line="300" w:lineRule="auto"/>
        <w:ind w:firstLine="640" w:firstLineChars="200"/>
        <w:rPr>
          <w:rFonts w:hint="eastAsia" w:eastAsia="方正仿宋_GBK"/>
          <w:sz w:val="32"/>
          <w:szCs w:val="32"/>
        </w:rPr>
      </w:pPr>
      <w:bookmarkStart w:id="100" w:name="_Toc197669677"/>
      <w:bookmarkStart w:id="101" w:name="_Toc210837095"/>
      <w:bookmarkStart w:id="102" w:name="_Toc194395525"/>
      <w:bookmarkStart w:id="103" w:name="_Toc194395218"/>
      <w:r>
        <w:rPr>
          <w:rFonts w:hint="eastAsia" w:eastAsia="方正仿宋_GBK"/>
          <w:sz w:val="32"/>
          <w:szCs w:val="32"/>
        </w:rPr>
        <w:t>3.2.3  预警信息内容</w:t>
      </w:r>
      <w:bookmarkEnd w:id="100"/>
      <w:bookmarkEnd w:id="101"/>
      <w:bookmarkEnd w:id="102"/>
      <w:bookmarkEnd w:id="103"/>
    </w:p>
    <w:p w14:paraId="168D0617">
      <w:pPr>
        <w:spacing w:line="300" w:lineRule="auto"/>
        <w:ind w:firstLine="640" w:firstLineChars="200"/>
        <w:rPr>
          <w:rFonts w:hint="eastAsia" w:eastAsia="方正仿宋_GBK"/>
          <w:sz w:val="32"/>
          <w:szCs w:val="32"/>
        </w:rPr>
      </w:pPr>
      <w:r>
        <w:rPr>
          <w:rFonts w:hint="eastAsia" w:eastAsia="方正仿宋_GBK"/>
          <w:sz w:val="32"/>
          <w:szCs w:val="32"/>
        </w:rPr>
        <w:t>应急指挥部办公室负责会同市有关部门（单位），建立与新街口地铁站地下空间突发事件预警信息发布平台的衔接机制，并做好相关预警信息的制作、审核和发布。</w:t>
      </w:r>
    </w:p>
    <w:p w14:paraId="76C48B45">
      <w:pPr>
        <w:spacing w:line="300" w:lineRule="auto"/>
        <w:ind w:firstLine="640" w:firstLineChars="200"/>
        <w:rPr>
          <w:rFonts w:hint="eastAsia" w:eastAsia="方正仿宋_GBK"/>
          <w:sz w:val="32"/>
          <w:szCs w:val="32"/>
        </w:rPr>
      </w:pPr>
      <w:r>
        <w:rPr>
          <w:rFonts w:hint="eastAsia" w:eastAsia="方正仿宋_GBK"/>
          <w:sz w:val="32"/>
          <w:szCs w:val="32"/>
        </w:rPr>
        <w:t>预警信息要素包括发布机关、发布时间、可能发生突发事件类别、起始时间、预警级别、可能影响范围、警示事项、事态发展、相关措施、咨询电话等。</w:t>
      </w:r>
    </w:p>
    <w:p w14:paraId="0C74873A">
      <w:pPr>
        <w:spacing w:line="300" w:lineRule="auto"/>
        <w:ind w:firstLine="640" w:firstLineChars="200"/>
        <w:rPr>
          <w:rFonts w:hint="eastAsia" w:eastAsia="方正仿宋_GBK"/>
          <w:sz w:val="32"/>
          <w:szCs w:val="32"/>
        </w:rPr>
      </w:pPr>
      <w:r>
        <w:rPr>
          <w:rFonts w:hint="eastAsia" w:eastAsia="方正仿宋_GBK"/>
          <w:sz w:val="32"/>
          <w:szCs w:val="32"/>
        </w:rPr>
        <w:t>预警信息主要通过广播、电视、报刊、互联网、手机短信、电子显示屏等方式公开发布。</w:t>
      </w:r>
    </w:p>
    <w:p w14:paraId="01540BB7">
      <w:pPr>
        <w:spacing w:line="300" w:lineRule="auto"/>
        <w:ind w:firstLine="640" w:firstLineChars="200"/>
        <w:rPr>
          <w:rFonts w:hint="eastAsia" w:eastAsia="方正仿宋_GBK"/>
          <w:sz w:val="32"/>
          <w:szCs w:val="32"/>
        </w:rPr>
      </w:pPr>
      <w:bookmarkStart w:id="104" w:name="_Toc194395219"/>
      <w:bookmarkStart w:id="105" w:name="_Toc210837096"/>
      <w:bookmarkStart w:id="106" w:name="_Toc197669678"/>
      <w:bookmarkStart w:id="107" w:name="_Toc194395526"/>
      <w:bookmarkStart w:id="108" w:name="_Hlk206790010"/>
      <w:r>
        <w:rPr>
          <w:rFonts w:hint="eastAsia" w:eastAsia="方正仿宋_GBK"/>
          <w:sz w:val="32"/>
          <w:szCs w:val="32"/>
        </w:rPr>
        <w:t>3.3  防御响应</w:t>
      </w:r>
      <w:bookmarkEnd w:id="104"/>
      <w:bookmarkEnd w:id="105"/>
      <w:bookmarkEnd w:id="106"/>
      <w:bookmarkEnd w:id="107"/>
    </w:p>
    <w:p w14:paraId="290FC86F">
      <w:pPr>
        <w:spacing w:line="300" w:lineRule="auto"/>
        <w:ind w:firstLine="640" w:firstLineChars="200"/>
        <w:rPr>
          <w:rFonts w:hint="eastAsia" w:eastAsia="方正仿宋_GBK"/>
          <w:sz w:val="32"/>
          <w:szCs w:val="32"/>
        </w:rPr>
      </w:pPr>
      <w:r>
        <w:rPr>
          <w:rFonts w:hint="eastAsia" w:eastAsia="方正仿宋_GBK"/>
          <w:sz w:val="32"/>
          <w:szCs w:val="32"/>
        </w:rPr>
        <w:t>预警信息发布后，应急指挥部、</w:t>
      </w:r>
      <w:bookmarkStart w:id="109" w:name="_Hlk206793550"/>
      <w:r>
        <w:rPr>
          <w:rFonts w:hint="eastAsia" w:eastAsia="方正仿宋_GBK"/>
          <w:sz w:val="32"/>
          <w:szCs w:val="32"/>
        </w:rPr>
        <w:t>事发地所在区政府及有关单位根据预警级别与类型，采取以下一项或多项措施：</w:t>
      </w:r>
      <w:bookmarkEnd w:id="109"/>
    </w:p>
    <w:p w14:paraId="6D4FA736">
      <w:pPr>
        <w:spacing w:line="300" w:lineRule="auto"/>
        <w:ind w:firstLine="640" w:firstLineChars="200"/>
        <w:rPr>
          <w:rFonts w:hint="eastAsia" w:eastAsia="方正仿宋_GBK"/>
          <w:sz w:val="32"/>
          <w:szCs w:val="32"/>
        </w:rPr>
      </w:pPr>
      <w:r>
        <w:rPr>
          <w:rFonts w:hint="eastAsia" w:eastAsia="方正仿宋_GBK"/>
          <w:sz w:val="32"/>
          <w:szCs w:val="32"/>
        </w:rPr>
        <w:t>（1）组织准备。一级、二级预警阶段（红色、橙色），由应急指挥部办公室组织开展会商，对预警信息进行分析研判，部署区域管控、设备巡查、力量布防等具体措施；三级、四级预警阶段（黄色、蓝色），由地铁运营单位牵头开展防御响应部署工作，强化客流引导、信息提示、设施自查、物资预置等防御措施，并将有关情况上报应急指挥部办公室。</w:t>
      </w:r>
    </w:p>
    <w:p w14:paraId="5877F440">
      <w:pPr>
        <w:spacing w:line="300" w:lineRule="auto"/>
        <w:ind w:firstLine="640" w:firstLineChars="200"/>
        <w:rPr>
          <w:rFonts w:hint="eastAsia" w:eastAsia="方正仿宋_GBK"/>
          <w:sz w:val="32"/>
          <w:szCs w:val="32"/>
        </w:rPr>
      </w:pPr>
      <w:r>
        <w:rPr>
          <w:rFonts w:hint="eastAsia" w:eastAsia="方正仿宋_GBK"/>
          <w:sz w:val="32"/>
          <w:szCs w:val="32"/>
        </w:rPr>
        <w:t>（2）值班值守。地铁运营单位严格落实值班值守制度，加强对新街口地铁站地下空间突发事件的监测预警，及时掌握和报告所发生的情况。相关成员单位、各救援力量进入应急待命状态，保持24小时通讯畅通。</w:t>
      </w:r>
    </w:p>
    <w:p w14:paraId="09EEDA02">
      <w:pPr>
        <w:spacing w:line="300" w:lineRule="auto"/>
        <w:ind w:firstLine="640" w:firstLineChars="200"/>
        <w:rPr>
          <w:rFonts w:hint="eastAsia" w:eastAsia="方正仿宋_GBK"/>
          <w:sz w:val="32"/>
          <w:szCs w:val="32"/>
        </w:rPr>
      </w:pPr>
      <w:r>
        <w:rPr>
          <w:rFonts w:hint="eastAsia" w:eastAsia="方正仿宋_GBK"/>
          <w:sz w:val="32"/>
          <w:szCs w:val="32"/>
        </w:rPr>
        <w:t>（3）信息发布。一级、二级预警阶段（红色、橙色），由应急指挥部办公室牵头，会同南京地铁集团、公安等部门，通过广播、告示牌、电视、互联网、新媒体平台（微信公众号、短视频平台）等多渠道发布具体封站、地铁运力调整、公交接驳等安排。三级、四级预警阶段（黄色、蓝色），由地铁运营单位在涉险区域设置注意事项提示或事件危害警示标志，发布临时通行引导信息。</w:t>
      </w:r>
    </w:p>
    <w:p w14:paraId="06C37ECA">
      <w:pPr>
        <w:spacing w:line="300" w:lineRule="auto"/>
        <w:ind w:firstLine="640" w:firstLineChars="200"/>
        <w:rPr>
          <w:rFonts w:hint="eastAsia" w:eastAsia="方正仿宋_GBK"/>
          <w:sz w:val="32"/>
          <w:szCs w:val="32"/>
        </w:rPr>
      </w:pPr>
      <w:r>
        <w:rPr>
          <w:rFonts w:hint="eastAsia" w:eastAsia="方正仿宋_GBK"/>
          <w:sz w:val="32"/>
          <w:szCs w:val="32"/>
        </w:rPr>
        <w:t>（4）防范措施。地铁运营单位做好分析研判工作，实时关注人流情况、内涝程度，加强对地下空间内的设施设备及环境状态的监测与巡查，组织专业人员对相关设施设备进行故障排查。</w:t>
      </w:r>
    </w:p>
    <w:p w14:paraId="09A6D1B0">
      <w:pPr>
        <w:spacing w:line="300" w:lineRule="auto"/>
        <w:ind w:firstLine="640" w:firstLineChars="200"/>
        <w:rPr>
          <w:rFonts w:hint="eastAsia" w:eastAsia="方正仿宋_GBK"/>
          <w:sz w:val="32"/>
          <w:szCs w:val="32"/>
        </w:rPr>
      </w:pPr>
      <w:r>
        <w:rPr>
          <w:rFonts w:hint="eastAsia" w:eastAsia="方正仿宋_GBK"/>
          <w:sz w:val="32"/>
          <w:szCs w:val="32"/>
        </w:rPr>
        <w:t>针对预测的大客流情形，在四级预警阶段（蓝色），地铁运营单位加大现场巡查频次，预置引导人员和引导标识，强化车站广播引导及进站秩序管理，提示乘客错峰出行；在三级预警阶段（黄色），地铁运营单位适当增加列车运力密度，提前预置应急疏导力量，在车站关键节点设置临时围栏与导流设施，实施轻度限流；在二级预警阶段（橙色），启动临时客流调控机制，视情实施限时限量进站、导流分批乘车，必要时启动新街口站“跳站运行”，设置替代换乘路径与引导标志，地铁运营单位根据人员流量制定站内人员疏导方案，应急指挥部办公室按需制定新街口地铁站地下空间人员疏导方案；在一级预警阶段（红色），实施新街口站“跳站运行”、封闭部分出入口、暂停换乘等管控措施，地铁运营单位根据人员流量制定站内人员疏导方案，应急指挥部办公室按需制定新街口地铁站地下空间人员疏导方案，并做好地面公共交通接驳准备。</w:t>
      </w:r>
    </w:p>
    <w:p w14:paraId="7F890B79">
      <w:pPr>
        <w:spacing w:line="300" w:lineRule="auto"/>
        <w:ind w:firstLine="640" w:firstLineChars="200"/>
        <w:rPr>
          <w:rFonts w:hint="eastAsia" w:eastAsia="方正仿宋_GBK"/>
          <w:sz w:val="32"/>
          <w:szCs w:val="32"/>
        </w:rPr>
      </w:pPr>
      <w:r>
        <w:rPr>
          <w:rFonts w:hint="eastAsia" w:eastAsia="方正仿宋_GBK"/>
          <w:sz w:val="32"/>
          <w:szCs w:val="32"/>
        </w:rPr>
        <w:t>针对强降雨或地下空间内涝等非常规情况，在四级预警阶段（蓝色），地铁运营单位加强现场巡查频次，对防汛重点部位积水情况、关键部位排水设施状态、防汛物资准备情况和车站墙体状态巡视确认；在三级预警阶段（黄色），地铁运营单位增加巡查密度，预置防洪挡板、沙包等物资，在潜在受影响出入口设置警示标志，实施轻度进站限制，引导乘客避开积水区域；在二级预警阶段（橙色），地铁运营单位关闭受影响的出入口，并放置防洪挡板、沙包，引导疏散乘客至其他出入口，应急指挥部办公室协调相关单位，提供地面排水支持和交通疏导支持；在一级预警阶段（红色），地铁运营单位组织关闭车站、引导疏散乘客通过安全出入口或疏散通道离开车站，只出不进，应急指挥部办公室按需制定新街口地铁站地下空间人员疏导方案，协调公安、应急等部门提供救援支持。若内涝威胁轨行区或列车运行安全，立即启动突发事件应急响应。</w:t>
      </w:r>
    </w:p>
    <w:p w14:paraId="76DDDCB0">
      <w:pPr>
        <w:spacing w:line="300" w:lineRule="auto"/>
        <w:ind w:firstLine="640" w:firstLineChars="200"/>
        <w:rPr>
          <w:rFonts w:hint="eastAsia" w:eastAsia="方正仿宋_GBK"/>
          <w:sz w:val="32"/>
          <w:szCs w:val="32"/>
        </w:rPr>
      </w:pPr>
      <w:r>
        <w:rPr>
          <w:rFonts w:hint="eastAsia" w:eastAsia="方正仿宋_GBK"/>
          <w:sz w:val="32"/>
          <w:szCs w:val="32"/>
        </w:rPr>
        <w:t>（5）应急准备。应急指挥部根据信息研判结果，视情提前疏散转移受影响人员并妥善安置；责令应急队伍和相关人员进入待命状态，做好应急处置准备；调集应急所需物资和设备，落实应急保障。</w:t>
      </w:r>
    </w:p>
    <w:p w14:paraId="31F39364">
      <w:pPr>
        <w:spacing w:line="300" w:lineRule="auto"/>
        <w:ind w:firstLine="640" w:firstLineChars="200"/>
        <w:rPr>
          <w:rFonts w:hint="eastAsia" w:eastAsia="方正仿宋_GBK"/>
          <w:sz w:val="32"/>
          <w:szCs w:val="32"/>
        </w:rPr>
      </w:pPr>
      <w:r>
        <w:rPr>
          <w:rFonts w:hint="eastAsia" w:eastAsia="方正仿宋_GBK"/>
          <w:sz w:val="32"/>
          <w:szCs w:val="32"/>
        </w:rPr>
        <w:t>（6）舆论引导。及时准确发布事态最新情况，公布咨询电话，组织专家解读，加强舆情监测和引导。</w:t>
      </w:r>
    </w:p>
    <w:bookmarkEnd w:id="94"/>
    <w:bookmarkEnd w:id="108"/>
    <w:p w14:paraId="65CD3F63">
      <w:pPr>
        <w:spacing w:line="300" w:lineRule="auto"/>
        <w:ind w:firstLine="640" w:firstLineChars="200"/>
        <w:rPr>
          <w:rFonts w:hint="eastAsia" w:eastAsia="方正仿宋_GBK"/>
          <w:sz w:val="32"/>
          <w:szCs w:val="32"/>
        </w:rPr>
      </w:pPr>
      <w:bookmarkStart w:id="110" w:name="_Toc194395220"/>
      <w:bookmarkStart w:id="111" w:name="_Toc197669679"/>
      <w:bookmarkStart w:id="112" w:name="_Toc210837097"/>
      <w:bookmarkStart w:id="113" w:name="_Toc194395527"/>
      <w:r>
        <w:rPr>
          <w:rFonts w:hint="eastAsia" w:eastAsia="方正仿宋_GBK"/>
          <w:sz w:val="32"/>
          <w:szCs w:val="32"/>
        </w:rPr>
        <w:t>3.4  预警解除</w:t>
      </w:r>
      <w:bookmarkEnd w:id="110"/>
      <w:bookmarkEnd w:id="111"/>
      <w:bookmarkEnd w:id="112"/>
      <w:bookmarkEnd w:id="113"/>
    </w:p>
    <w:p w14:paraId="73EB35AC">
      <w:pPr>
        <w:spacing w:line="300" w:lineRule="auto"/>
        <w:ind w:firstLine="640" w:firstLineChars="200"/>
        <w:rPr>
          <w:rFonts w:hint="eastAsia" w:eastAsia="方正仿宋_GBK"/>
          <w:sz w:val="32"/>
          <w:szCs w:val="32"/>
        </w:rPr>
      </w:pPr>
      <w:r>
        <w:rPr>
          <w:rFonts w:hint="eastAsia" w:eastAsia="方正仿宋_GBK"/>
          <w:sz w:val="32"/>
          <w:szCs w:val="32"/>
        </w:rPr>
        <w:t>当确定突发事件不可能发生或危险已经解除时，预警信息发布部门按照信息发布渠道，宣布解除预警，视情终止相关措施。</w:t>
      </w:r>
    </w:p>
    <w:p w14:paraId="285F9A3F">
      <w:pPr>
        <w:spacing w:line="300" w:lineRule="auto"/>
        <w:ind w:firstLine="640" w:firstLineChars="200"/>
        <w:rPr>
          <w:rFonts w:hint="eastAsia" w:eastAsia="方正仿宋_GBK"/>
          <w:sz w:val="32"/>
          <w:szCs w:val="32"/>
        </w:rPr>
      </w:pPr>
      <w:r>
        <w:rPr>
          <w:rFonts w:hint="eastAsia" w:eastAsia="方正仿宋_GBK"/>
          <w:sz w:val="32"/>
          <w:szCs w:val="32"/>
        </w:rPr>
        <w:t>若在防御响应期间发生突发事件，则启动应急响应，开展应急处置工作，预警解除时间与应急响应终止时间一致，不再单独启动预警解除程序。</w:t>
      </w:r>
    </w:p>
    <w:p w14:paraId="37356358">
      <w:pPr>
        <w:spacing w:line="300" w:lineRule="auto"/>
        <w:ind w:firstLine="640" w:firstLineChars="200"/>
        <w:rPr>
          <w:rFonts w:hint="eastAsia" w:ascii="方正黑体_GBK" w:eastAsia="方正黑体_GBK"/>
          <w:sz w:val="32"/>
          <w:szCs w:val="32"/>
        </w:rPr>
      </w:pPr>
      <w:bookmarkStart w:id="114" w:name="_Toc197669680"/>
      <w:bookmarkStart w:id="115" w:name="_Toc210837098"/>
      <w:bookmarkStart w:id="116" w:name="_Toc194395221"/>
      <w:r>
        <w:rPr>
          <w:rFonts w:hint="eastAsia" w:ascii="方正黑体_GBK" w:eastAsia="方正黑体_GBK"/>
          <w:sz w:val="32"/>
          <w:szCs w:val="32"/>
        </w:rPr>
        <w:t>4  应急响应</w:t>
      </w:r>
      <w:bookmarkEnd w:id="114"/>
      <w:bookmarkEnd w:id="115"/>
      <w:bookmarkEnd w:id="116"/>
    </w:p>
    <w:p w14:paraId="0CA84432">
      <w:pPr>
        <w:spacing w:line="300" w:lineRule="auto"/>
        <w:ind w:firstLine="640" w:firstLineChars="200"/>
        <w:rPr>
          <w:rFonts w:hint="eastAsia" w:eastAsia="方正仿宋_GBK"/>
          <w:sz w:val="32"/>
          <w:szCs w:val="32"/>
        </w:rPr>
      </w:pPr>
      <w:bookmarkStart w:id="117" w:name="_Toc210837099"/>
      <w:r>
        <w:rPr>
          <w:rFonts w:hint="eastAsia" w:eastAsia="方正仿宋_GBK"/>
          <w:sz w:val="32"/>
          <w:szCs w:val="32"/>
        </w:rPr>
        <w:t>4.1  响应条件</w:t>
      </w:r>
      <w:bookmarkEnd w:id="117"/>
    </w:p>
    <w:p w14:paraId="72AFAA0E">
      <w:pPr>
        <w:spacing w:line="300" w:lineRule="auto"/>
        <w:ind w:firstLine="640" w:firstLineChars="200"/>
        <w:rPr>
          <w:rFonts w:hint="eastAsia" w:eastAsia="方正仿宋_GBK"/>
          <w:sz w:val="32"/>
          <w:szCs w:val="32"/>
        </w:rPr>
      </w:pPr>
      <w:r>
        <w:rPr>
          <w:rFonts w:hint="eastAsia" w:eastAsia="方正仿宋_GBK"/>
          <w:sz w:val="32"/>
          <w:szCs w:val="32"/>
        </w:rPr>
        <w:t>出现下列情况之一时，启动本预案应急响应程序：</w:t>
      </w:r>
    </w:p>
    <w:p w14:paraId="415BB157">
      <w:pPr>
        <w:spacing w:line="300" w:lineRule="auto"/>
        <w:ind w:firstLine="640" w:firstLineChars="200"/>
        <w:rPr>
          <w:rFonts w:hint="eastAsia" w:eastAsia="方正仿宋_GBK"/>
          <w:sz w:val="32"/>
          <w:szCs w:val="32"/>
        </w:rPr>
      </w:pPr>
      <w:r>
        <w:rPr>
          <w:rFonts w:hint="eastAsia" w:eastAsia="方正仿宋_GBK"/>
          <w:sz w:val="32"/>
          <w:szCs w:val="32"/>
        </w:rPr>
        <w:t>（1）已发生本预案中规定的新街口地铁站地下空间突发事件情形；</w:t>
      </w:r>
    </w:p>
    <w:p w14:paraId="679ECA0F">
      <w:pPr>
        <w:spacing w:line="300" w:lineRule="auto"/>
        <w:ind w:firstLine="640" w:firstLineChars="200"/>
        <w:rPr>
          <w:rFonts w:hint="eastAsia" w:eastAsia="方正仿宋_GBK"/>
          <w:sz w:val="32"/>
          <w:szCs w:val="32"/>
        </w:rPr>
      </w:pPr>
      <w:r>
        <w:rPr>
          <w:rFonts w:hint="eastAsia" w:eastAsia="方正仿宋_GBK"/>
          <w:sz w:val="32"/>
          <w:szCs w:val="32"/>
        </w:rPr>
        <w:t>（2）应急指挥部认为有必要响应的突发事件。</w:t>
      </w:r>
    </w:p>
    <w:p w14:paraId="027029AA">
      <w:pPr>
        <w:spacing w:line="300" w:lineRule="auto"/>
        <w:ind w:firstLine="640" w:firstLineChars="200"/>
        <w:rPr>
          <w:rFonts w:hint="eastAsia" w:eastAsia="方正仿宋_GBK"/>
          <w:sz w:val="32"/>
          <w:szCs w:val="32"/>
        </w:rPr>
      </w:pPr>
      <w:bookmarkStart w:id="118" w:name="_Toc210837100"/>
      <w:r>
        <w:rPr>
          <w:rFonts w:hint="eastAsia" w:eastAsia="方正仿宋_GBK"/>
          <w:sz w:val="32"/>
          <w:szCs w:val="32"/>
        </w:rPr>
        <w:t>4.2  信息报告</w:t>
      </w:r>
      <w:bookmarkEnd w:id="118"/>
    </w:p>
    <w:p w14:paraId="3B1E57CA">
      <w:pPr>
        <w:spacing w:line="300" w:lineRule="auto"/>
        <w:ind w:firstLine="640" w:firstLineChars="200"/>
        <w:rPr>
          <w:rFonts w:hint="eastAsia" w:eastAsia="方正仿宋_GBK"/>
          <w:sz w:val="32"/>
          <w:szCs w:val="32"/>
        </w:rPr>
      </w:pPr>
      <w:bookmarkStart w:id="119" w:name="_Toc210837101"/>
      <w:r>
        <w:rPr>
          <w:rFonts w:hint="eastAsia" w:eastAsia="方正仿宋_GBK"/>
          <w:sz w:val="32"/>
          <w:szCs w:val="32"/>
        </w:rPr>
        <w:t>4.2.1  信息报告流程</w:t>
      </w:r>
      <w:bookmarkEnd w:id="119"/>
    </w:p>
    <w:p w14:paraId="258DA2B3">
      <w:pPr>
        <w:spacing w:line="300" w:lineRule="auto"/>
        <w:ind w:firstLine="640" w:firstLineChars="200"/>
        <w:rPr>
          <w:rFonts w:hint="eastAsia" w:eastAsia="方正仿宋_GBK"/>
          <w:sz w:val="32"/>
          <w:szCs w:val="32"/>
        </w:rPr>
      </w:pPr>
      <w:r>
        <w:rPr>
          <w:rFonts w:hint="eastAsia" w:eastAsia="方正仿宋_GBK"/>
          <w:sz w:val="32"/>
          <w:szCs w:val="32"/>
        </w:rPr>
        <w:t>新街口地铁站地下空间突发事件信息实行逐级上报制度，经研判认定为较大以上级别或特别敏感的信息，紧急情况下可越级上报。</w:t>
      </w:r>
    </w:p>
    <w:p w14:paraId="1346A244">
      <w:pPr>
        <w:spacing w:line="300" w:lineRule="auto"/>
        <w:ind w:firstLine="640" w:firstLineChars="200"/>
        <w:rPr>
          <w:rFonts w:hint="eastAsia" w:eastAsia="方正仿宋_GBK"/>
          <w:sz w:val="32"/>
          <w:szCs w:val="32"/>
        </w:rPr>
      </w:pPr>
      <w:r>
        <w:rPr>
          <w:rFonts w:hint="eastAsia" w:eastAsia="方正仿宋_GBK"/>
          <w:sz w:val="32"/>
          <w:szCs w:val="32"/>
        </w:rPr>
        <w:t>（1）突发事件发生后，现场人员立即向地铁运营单位报告，同时根据突发事件类别及时向公安（110）、交警（122）、医疗（120）、消防（119）等专业救援机构请求救援。</w:t>
      </w:r>
    </w:p>
    <w:p w14:paraId="1A8885F9">
      <w:pPr>
        <w:spacing w:line="300" w:lineRule="auto"/>
        <w:ind w:firstLine="640" w:firstLineChars="200"/>
        <w:rPr>
          <w:rFonts w:hint="eastAsia" w:eastAsia="方正仿宋_GBK"/>
          <w:sz w:val="32"/>
          <w:szCs w:val="32"/>
        </w:rPr>
      </w:pPr>
      <w:r>
        <w:rPr>
          <w:rFonts w:hint="eastAsia" w:eastAsia="方正仿宋_GBK"/>
          <w:sz w:val="32"/>
          <w:szCs w:val="32"/>
        </w:rPr>
        <w:t>（2）南京地铁集团接报后应当第一时间电话上报市委、市政府总值班室以及行业主管部门、应急管理部门、事发地所在区政府等机构，45分钟内上报书面信息。应急指挥部办公室（行业主管部门）收到突发事件信息后，经研判，按突发事件分级逐级向上级指挥机构报告，紧急情况下，可越级上报。</w:t>
      </w:r>
    </w:p>
    <w:p w14:paraId="03087EC5">
      <w:pPr>
        <w:spacing w:line="300" w:lineRule="auto"/>
        <w:ind w:firstLine="640" w:firstLineChars="200"/>
        <w:rPr>
          <w:rFonts w:hint="eastAsia" w:eastAsia="方正仿宋_GBK"/>
          <w:sz w:val="32"/>
          <w:szCs w:val="32"/>
        </w:rPr>
      </w:pPr>
      <w:r>
        <w:rPr>
          <w:rFonts w:hint="eastAsia" w:eastAsia="方正仿宋_GBK"/>
          <w:sz w:val="32"/>
          <w:szCs w:val="32"/>
        </w:rPr>
        <w:t>（3）若人员滞留需要地面公交进行接驳，南京地铁集团确定接驳需求，并在1小时内向应急指挥部办公室报告。</w:t>
      </w:r>
    </w:p>
    <w:p w14:paraId="086D1EA8">
      <w:pPr>
        <w:spacing w:line="300" w:lineRule="auto"/>
        <w:ind w:firstLine="640" w:firstLineChars="200"/>
        <w:rPr>
          <w:rFonts w:hint="eastAsia" w:eastAsia="方正仿宋_GBK"/>
          <w:sz w:val="32"/>
          <w:szCs w:val="32"/>
        </w:rPr>
      </w:pPr>
      <w:r>
        <w:rPr>
          <w:rFonts w:hint="eastAsia" w:eastAsia="方正仿宋_GBK"/>
          <w:sz w:val="32"/>
          <w:szCs w:val="32"/>
        </w:rPr>
        <w:t>具体信息报送流程见附件9.2。</w:t>
      </w:r>
    </w:p>
    <w:p w14:paraId="7866CFF2">
      <w:pPr>
        <w:spacing w:line="300" w:lineRule="auto"/>
        <w:ind w:firstLine="640" w:firstLineChars="200"/>
        <w:rPr>
          <w:rFonts w:hint="eastAsia" w:eastAsia="方正仿宋_GBK"/>
          <w:sz w:val="32"/>
          <w:szCs w:val="32"/>
        </w:rPr>
      </w:pPr>
      <w:bookmarkStart w:id="120" w:name="_Toc210837102"/>
      <w:r>
        <w:rPr>
          <w:rFonts w:hint="eastAsia" w:eastAsia="方正仿宋_GBK"/>
          <w:sz w:val="32"/>
          <w:szCs w:val="32"/>
        </w:rPr>
        <w:t>4.2.2  信息报告内容</w:t>
      </w:r>
      <w:bookmarkEnd w:id="120"/>
    </w:p>
    <w:p w14:paraId="724E5446">
      <w:pPr>
        <w:spacing w:line="300" w:lineRule="auto"/>
        <w:ind w:firstLine="640" w:firstLineChars="200"/>
        <w:rPr>
          <w:rFonts w:hint="eastAsia" w:eastAsia="方正仿宋_GBK"/>
          <w:sz w:val="32"/>
          <w:szCs w:val="32"/>
        </w:rPr>
      </w:pPr>
      <w:r>
        <w:rPr>
          <w:rFonts w:hint="eastAsia" w:eastAsia="方正仿宋_GBK"/>
          <w:sz w:val="32"/>
          <w:szCs w:val="32"/>
        </w:rPr>
        <w:t>突发事件信息报告的内容应遵循实事求是、注重实效、内容完整、文字精炼的原则，不得迟报、谎报、瞒报、漏报。</w:t>
      </w:r>
    </w:p>
    <w:p w14:paraId="7A83C2D9">
      <w:pPr>
        <w:spacing w:line="300" w:lineRule="auto"/>
        <w:ind w:firstLine="640" w:firstLineChars="200"/>
        <w:rPr>
          <w:rFonts w:hint="eastAsia" w:eastAsia="方正仿宋_GBK"/>
          <w:sz w:val="32"/>
          <w:szCs w:val="32"/>
        </w:rPr>
      </w:pPr>
      <w:r>
        <w:rPr>
          <w:rFonts w:hint="eastAsia" w:eastAsia="方正仿宋_GBK"/>
          <w:sz w:val="32"/>
          <w:szCs w:val="32"/>
        </w:rPr>
        <w:t>突发事件首报信息包括以下内容：时间、地点、信息来源、事件性质、简要经过、影响范围、损害程度、现场救援情况、事件发展趋势和已经采取的措施等。</w:t>
      </w:r>
    </w:p>
    <w:p w14:paraId="6AE9FD72">
      <w:pPr>
        <w:spacing w:line="300" w:lineRule="auto"/>
        <w:ind w:firstLine="640" w:firstLineChars="200"/>
        <w:rPr>
          <w:rFonts w:hint="eastAsia" w:eastAsia="方正仿宋_GBK"/>
          <w:sz w:val="32"/>
          <w:szCs w:val="32"/>
        </w:rPr>
      </w:pPr>
      <w:r>
        <w:rPr>
          <w:rFonts w:hint="eastAsia" w:eastAsia="方正仿宋_GBK"/>
          <w:sz w:val="32"/>
          <w:szCs w:val="32"/>
        </w:rPr>
        <w:t>应急处置取得新的进展或衍生了新的情况时，应及时做好信息续报、终报工作，信息报告中重点报告首报（前报）中未提及的新内容，同时还需反馈领导指示、批示的落实情况。</w:t>
      </w:r>
    </w:p>
    <w:p w14:paraId="3E6C0302">
      <w:pPr>
        <w:spacing w:line="300" w:lineRule="auto"/>
        <w:ind w:firstLine="640" w:firstLineChars="200"/>
        <w:rPr>
          <w:rFonts w:hint="eastAsia" w:eastAsia="方正仿宋_GBK"/>
          <w:sz w:val="32"/>
          <w:szCs w:val="32"/>
        </w:rPr>
      </w:pPr>
      <w:r>
        <w:rPr>
          <w:rFonts w:hint="eastAsia" w:eastAsia="方正仿宋_GBK"/>
          <w:sz w:val="32"/>
          <w:szCs w:val="32"/>
        </w:rPr>
        <w:t>接驳需求信息包括：车站名称、需要应急公交接驳的线路、所需应急公交接驳车辆数、接驳地点、接驳方向等。</w:t>
      </w:r>
    </w:p>
    <w:p w14:paraId="3178BDE8">
      <w:pPr>
        <w:spacing w:line="300" w:lineRule="auto"/>
        <w:ind w:firstLine="640" w:firstLineChars="200"/>
        <w:rPr>
          <w:rFonts w:hint="eastAsia" w:eastAsia="方正仿宋_GBK"/>
          <w:sz w:val="32"/>
          <w:szCs w:val="32"/>
        </w:rPr>
      </w:pPr>
      <w:bookmarkStart w:id="121" w:name="_Toc197669681"/>
      <w:bookmarkStart w:id="122" w:name="_Toc210837103"/>
      <w:bookmarkStart w:id="123" w:name="_Toc194395222"/>
      <w:r>
        <w:rPr>
          <w:rFonts w:hint="eastAsia" w:eastAsia="方正仿宋_GBK"/>
          <w:sz w:val="32"/>
          <w:szCs w:val="32"/>
        </w:rPr>
        <w:t>4.3  先期处置</w:t>
      </w:r>
      <w:bookmarkEnd w:id="121"/>
      <w:bookmarkEnd w:id="122"/>
      <w:bookmarkEnd w:id="123"/>
    </w:p>
    <w:p w14:paraId="501C3211">
      <w:pPr>
        <w:spacing w:line="300" w:lineRule="auto"/>
        <w:ind w:firstLine="640" w:firstLineChars="200"/>
        <w:rPr>
          <w:rFonts w:hint="eastAsia" w:eastAsia="方正仿宋_GBK"/>
          <w:sz w:val="32"/>
          <w:szCs w:val="32"/>
        </w:rPr>
      </w:pPr>
      <w:r>
        <w:rPr>
          <w:rFonts w:hint="eastAsia" w:eastAsia="方正仿宋_GBK"/>
          <w:sz w:val="32"/>
          <w:szCs w:val="32"/>
        </w:rPr>
        <w:t>（1）地铁运营单位与其他相关生产经营单位（周边具备应急组织能力的商业综合体、高层楼宇等）立即启动本单位应急预案，组织本单位应急救援队伍和工作人员开展应对处置工作，对可能导致次生、衍生灾害的突发事件，应果断控制和消除风险源，全力遏制事态升级；可能危害现场或周边地区群众的，立即组织现场人员紧急疏散，引导群众开展自救互救。</w:t>
      </w:r>
    </w:p>
    <w:p w14:paraId="2C190132">
      <w:pPr>
        <w:spacing w:line="300" w:lineRule="auto"/>
        <w:ind w:firstLine="640" w:firstLineChars="200"/>
        <w:rPr>
          <w:rFonts w:hint="eastAsia" w:eastAsia="方正仿宋_GBK"/>
          <w:sz w:val="32"/>
          <w:szCs w:val="32"/>
        </w:rPr>
      </w:pPr>
      <w:r>
        <w:rPr>
          <w:rFonts w:hint="eastAsia" w:eastAsia="方正仿宋_GBK"/>
          <w:sz w:val="32"/>
          <w:szCs w:val="32"/>
        </w:rPr>
        <w:t>（2）地铁运营单位与其他相关生产经营单位持续监测事态发展、核实事件相关信息并及时向有关部门报告。</w:t>
      </w:r>
    </w:p>
    <w:p w14:paraId="04252C04">
      <w:pPr>
        <w:spacing w:line="300" w:lineRule="auto"/>
        <w:ind w:firstLine="640" w:firstLineChars="200"/>
        <w:rPr>
          <w:rFonts w:hint="eastAsia" w:eastAsia="方正仿宋_GBK"/>
          <w:sz w:val="32"/>
          <w:szCs w:val="32"/>
        </w:rPr>
      </w:pPr>
      <w:r>
        <w:rPr>
          <w:rFonts w:hint="eastAsia" w:eastAsia="方正仿宋_GBK"/>
          <w:sz w:val="32"/>
          <w:szCs w:val="32"/>
        </w:rPr>
        <w:t>（3）地铁运营单位与其他相关生产经营单位利用地铁（商场）广播、手机短信、告示牌等渠道，标明危险区域，封锁危险场所，并采取其他必要措施防止危害扩大。</w:t>
      </w:r>
    </w:p>
    <w:p w14:paraId="54E19289">
      <w:pPr>
        <w:spacing w:line="300" w:lineRule="auto"/>
        <w:ind w:firstLine="640" w:firstLineChars="200"/>
        <w:rPr>
          <w:rFonts w:hint="eastAsia" w:eastAsia="方正仿宋_GBK"/>
          <w:sz w:val="32"/>
          <w:szCs w:val="32"/>
        </w:rPr>
      </w:pPr>
      <w:r>
        <w:rPr>
          <w:rFonts w:hint="eastAsia" w:eastAsia="方正仿宋_GBK"/>
          <w:sz w:val="32"/>
          <w:szCs w:val="32"/>
        </w:rPr>
        <w:t>（4）新街口地铁站地下空间发生内涝等影响地铁正常运营的情形时，地铁运营单位应立即根据本单位应急处置预案，研判选择关闭出入口、封闭车站、调整线路等措施；发生列车突发停运等情形时，地铁运营单位应迅速评估影响范围和恢复时长，及时发布信息、加强现场引导，视情采取限流、封站等应急措施，并联系交通运输部门组织公交接驳；发生1号线或2号线其他站点突发停运，并对新街口站具有传导性影响时，南京地铁集团应立即启动与新街口站的应急联动机制，及时发布外部停运信息，根据客流增长情况，及时启动限流措施，引导乘客前往地面公交接驳点或通过其他交通方式疏散；发生火灾等影响地铁正常运营的情形时，地铁运营单位立即组织人员疏散，视情况调整列车运行；发生社会安全事件时，地铁运营单位应当按规定上报情况，并迅速做好现场劝解、疏导等工作。</w:t>
      </w:r>
    </w:p>
    <w:p w14:paraId="08675745">
      <w:pPr>
        <w:spacing w:line="300" w:lineRule="auto"/>
        <w:ind w:firstLine="640" w:firstLineChars="200"/>
        <w:rPr>
          <w:rFonts w:hint="eastAsia" w:eastAsia="方正仿宋_GBK"/>
          <w:sz w:val="32"/>
          <w:szCs w:val="32"/>
        </w:rPr>
      </w:pPr>
      <w:bookmarkStart w:id="124" w:name="_Toc194395223"/>
      <w:bookmarkStart w:id="125" w:name="_Toc210837104"/>
      <w:bookmarkStart w:id="126" w:name="_Toc197669682"/>
      <w:r>
        <w:rPr>
          <w:rFonts w:hint="eastAsia" w:eastAsia="方正仿宋_GBK"/>
          <w:sz w:val="32"/>
          <w:szCs w:val="32"/>
        </w:rPr>
        <w:t>4.4  响应分级</w:t>
      </w:r>
      <w:bookmarkEnd w:id="124"/>
      <w:bookmarkEnd w:id="125"/>
      <w:bookmarkEnd w:id="126"/>
    </w:p>
    <w:p w14:paraId="645F48AA">
      <w:pPr>
        <w:spacing w:line="300" w:lineRule="auto"/>
        <w:ind w:firstLine="640" w:firstLineChars="200"/>
        <w:rPr>
          <w:rFonts w:hint="eastAsia" w:eastAsia="方正仿宋_GBK"/>
          <w:sz w:val="32"/>
          <w:szCs w:val="32"/>
        </w:rPr>
      </w:pPr>
      <w:r>
        <w:rPr>
          <w:rFonts w:hint="eastAsia" w:eastAsia="方正仿宋_GBK"/>
          <w:sz w:val="32"/>
          <w:szCs w:val="32"/>
        </w:rPr>
        <w:t>应急指挥部办公室接到信息报告后，研判达到突发事件等级的，报告应急指挥部，经批准后启动应急响应。根据新街口地铁站地下空间突发事件的严重程度和发展态势，将应急响应由高到低设定为一级应急响应、二级应急响应、三级应急响应和四级应急响应，可视事故事态发展情况及时调整响应级别。</w:t>
      </w:r>
    </w:p>
    <w:p w14:paraId="39084832">
      <w:pPr>
        <w:spacing w:line="300" w:lineRule="auto"/>
        <w:ind w:firstLine="640" w:firstLineChars="200"/>
        <w:rPr>
          <w:rFonts w:hint="eastAsia" w:eastAsia="方正仿宋_GBK"/>
          <w:sz w:val="32"/>
          <w:szCs w:val="32"/>
        </w:rPr>
      </w:pPr>
      <w:r>
        <w:rPr>
          <w:rFonts w:hint="eastAsia" w:eastAsia="方正仿宋_GBK"/>
          <w:sz w:val="32"/>
          <w:szCs w:val="32"/>
        </w:rPr>
        <w:t>（1）一级应急响应：发生新街口地铁站地下空间特别重大突发事件。</w:t>
      </w:r>
    </w:p>
    <w:p w14:paraId="1C01F124">
      <w:pPr>
        <w:spacing w:line="300" w:lineRule="auto"/>
        <w:ind w:firstLine="640" w:firstLineChars="200"/>
        <w:rPr>
          <w:rFonts w:hint="eastAsia" w:eastAsia="方正仿宋_GBK"/>
          <w:sz w:val="32"/>
          <w:szCs w:val="32"/>
        </w:rPr>
      </w:pPr>
      <w:r>
        <w:rPr>
          <w:rFonts w:hint="eastAsia" w:eastAsia="方正仿宋_GBK"/>
          <w:sz w:val="32"/>
          <w:szCs w:val="32"/>
        </w:rPr>
        <w:t>（2）二级应急响应：发生新街口地铁站地下空间重大突发事件。</w:t>
      </w:r>
    </w:p>
    <w:p w14:paraId="213B12D9">
      <w:pPr>
        <w:spacing w:line="300" w:lineRule="auto"/>
        <w:ind w:firstLine="640" w:firstLineChars="200"/>
        <w:rPr>
          <w:rFonts w:hint="eastAsia" w:eastAsia="方正仿宋_GBK"/>
          <w:sz w:val="32"/>
          <w:szCs w:val="32"/>
        </w:rPr>
      </w:pPr>
      <w:r>
        <w:rPr>
          <w:rFonts w:hint="eastAsia" w:eastAsia="方正仿宋_GBK"/>
          <w:sz w:val="32"/>
          <w:szCs w:val="32"/>
        </w:rPr>
        <w:t>（3）三级应急响应：发生新街口地铁站地下空间较大突发事件。</w:t>
      </w:r>
    </w:p>
    <w:p w14:paraId="1D4B3AEC">
      <w:pPr>
        <w:spacing w:line="300" w:lineRule="auto"/>
        <w:ind w:firstLine="640" w:firstLineChars="200"/>
        <w:rPr>
          <w:rFonts w:hint="eastAsia" w:eastAsia="方正仿宋_GBK"/>
          <w:sz w:val="32"/>
          <w:szCs w:val="32"/>
        </w:rPr>
      </w:pPr>
      <w:r>
        <w:rPr>
          <w:rFonts w:hint="eastAsia" w:eastAsia="方正仿宋_GBK"/>
          <w:sz w:val="32"/>
          <w:szCs w:val="32"/>
        </w:rPr>
        <w:t>（4）四级应急响应：发生新街口地铁站地下空间一般突发事件。</w:t>
      </w:r>
    </w:p>
    <w:p w14:paraId="2E780B69">
      <w:pPr>
        <w:spacing w:line="300" w:lineRule="auto"/>
        <w:ind w:firstLine="640" w:firstLineChars="200"/>
        <w:rPr>
          <w:rFonts w:hint="eastAsia" w:eastAsia="方正仿宋_GBK"/>
          <w:sz w:val="32"/>
          <w:szCs w:val="32"/>
        </w:rPr>
      </w:pPr>
      <w:r>
        <w:rPr>
          <w:rFonts w:hint="eastAsia" w:eastAsia="方正仿宋_GBK"/>
          <w:sz w:val="32"/>
          <w:szCs w:val="32"/>
        </w:rPr>
        <w:t>当新街口地铁站地下空间突发事件发生在重大节假日、重大活动和重要会议期间，或属于敏感事件、具有进一步扩大可能性时，可视情提高应急响应级别。</w:t>
      </w:r>
    </w:p>
    <w:p w14:paraId="04C87107">
      <w:pPr>
        <w:spacing w:line="300" w:lineRule="auto"/>
        <w:ind w:firstLine="640" w:firstLineChars="200"/>
        <w:rPr>
          <w:rFonts w:hint="eastAsia" w:eastAsia="方正仿宋_GBK"/>
          <w:sz w:val="32"/>
          <w:szCs w:val="32"/>
        </w:rPr>
      </w:pPr>
      <w:bookmarkStart w:id="127" w:name="_Toc210837105"/>
      <w:r>
        <w:rPr>
          <w:rFonts w:hint="eastAsia" w:eastAsia="方正仿宋_GBK"/>
          <w:sz w:val="32"/>
          <w:szCs w:val="32"/>
        </w:rPr>
        <w:t>4.5  指挥协调</w:t>
      </w:r>
      <w:bookmarkEnd w:id="127"/>
    </w:p>
    <w:p w14:paraId="3F676802">
      <w:pPr>
        <w:spacing w:line="300" w:lineRule="auto"/>
        <w:ind w:firstLine="640" w:firstLineChars="200"/>
        <w:rPr>
          <w:rFonts w:hint="eastAsia" w:eastAsia="方正仿宋_GBK"/>
          <w:sz w:val="32"/>
          <w:szCs w:val="32"/>
        </w:rPr>
      </w:pPr>
      <w:bookmarkStart w:id="128" w:name="_Toc210837106"/>
      <w:r>
        <w:rPr>
          <w:rFonts w:hint="eastAsia" w:eastAsia="方正仿宋_GBK"/>
          <w:sz w:val="32"/>
          <w:szCs w:val="32"/>
        </w:rPr>
        <w:t>4.5.1  指挥领导</w:t>
      </w:r>
      <w:bookmarkEnd w:id="128"/>
    </w:p>
    <w:p w14:paraId="70A154B9">
      <w:pPr>
        <w:spacing w:line="300" w:lineRule="auto"/>
        <w:ind w:firstLine="640" w:firstLineChars="200"/>
        <w:rPr>
          <w:rFonts w:hint="eastAsia" w:eastAsia="方正仿宋_GBK"/>
          <w:sz w:val="32"/>
          <w:szCs w:val="32"/>
        </w:rPr>
      </w:pPr>
      <w:bookmarkStart w:id="129" w:name="_Hlk209177492"/>
      <w:r>
        <w:rPr>
          <w:rFonts w:hint="eastAsia" w:eastAsia="方正仿宋_GBK"/>
          <w:sz w:val="32"/>
          <w:szCs w:val="32"/>
        </w:rPr>
        <w:t>（1）</w:t>
      </w:r>
      <w:bookmarkStart w:id="130" w:name="_Hlk206793017"/>
      <w:r>
        <w:rPr>
          <w:rFonts w:hint="eastAsia" w:eastAsia="方正仿宋_GBK"/>
          <w:sz w:val="32"/>
          <w:szCs w:val="32"/>
        </w:rPr>
        <w:t>启动四级应急响应时，按2.1.3章节中玄武区、秦淮区、鼓楼区政府职责划定情况，事发地所在区政府负责同志赶赴现场，安排相关单位负责同志组成现场指挥部，负责现场应急救援的组织、指挥、协调工作。若事件涉及或影响其他行政区，相关行政区政府应派负责同志赶赴现场；若事件发生在两个或多个行政区交界处或同时影响多个行政区时，由最先接报或事件初始发生点所在行政区的区政府负责成立现场指挥部，并立即通知其他相关行政区的区政府。</w:t>
      </w:r>
      <w:bookmarkEnd w:id="130"/>
      <w:r>
        <w:rPr>
          <w:rFonts w:hint="eastAsia" w:eastAsia="方正仿宋_GBK"/>
          <w:sz w:val="32"/>
          <w:szCs w:val="32"/>
        </w:rPr>
        <w:t>应急指挥部（新街口地铁站地下空间突发事件应急指挥部）动态跟踪指导，密切关注事态变化，收集汇总突发事件应急处置信息，组织开展分析研判，视情派现场工作组，赴现场进行指导。</w:t>
      </w:r>
    </w:p>
    <w:p w14:paraId="1F07D47C">
      <w:pPr>
        <w:spacing w:line="300" w:lineRule="auto"/>
        <w:ind w:firstLine="640" w:firstLineChars="200"/>
        <w:rPr>
          <w:rFonts w:hint="eastAsia" w:eastAsia="方正仿宋_GBK"/>
          <w:sz w:val="32"/>
          <w:szCs w:val="32"/>
        </w:rPr>
      </w:pPr>
      <w:r>
        <w:rPr>
          <w:rFonts w:hint="eastAsia" w:eastAsia="方正仿宋_GBK"/>
          <w:sz w:val="32"/>
          <w:szCs w:val="32"/>
        </w:rPr>
        <w:t>（2）</w:t>
      </w:r>
      <w:bookmarkStart w:id="131" w:name="_Hlk206793038"/>
      <w:r>
        <w:rPr>
          <w:rFonts w:hint="eastAsia" w:eastAsia="方正仿宋_GBK"/>
          <w:sz w:val="32"/>
          <w:szCs w:val="32"/>
        </w:rPr>
        <w:t>启动三级应急响应时，应急指挥部总指挥、副总指挥、事发地所在区政府负责同志赶赴现场，应急指挥部安排相关成员单位组成现场指挥部，负责现场应急救援的组织、指挥、协调工作。</w:t>
      </w:r>
      <w:bookmarkEnd w:id="131"/>
    </w:p>
    <w:p w14:paraId="15467656">
      <w:pPr>
        <w:spacing w:line="300" w:lineRule="auto"/>
        <w:ind w:firstLine="640" w:firstLineChars="200"/>
        <w:rPr>
          <w:rFonts w:hint="eastAsia" w:eastAsia="方正仿宋_GBK"/>
          <w:sz w:val="32"/>
          <w:szCs w:val="32"/>
        </w:rPr>
      </w:pPr>
      <w:r>
        <w:rPr>
          <w:rFonts w:hint="eastAsia" w:eastAsia="方正仿宋_GBK"/>
          <w:sz w:val="32"/>
          <w:szCs w:val="32"/>
        </w:rPr>
        <w:t>（3）</w:t>
      </w:r>
      <w:bookmarkStart w:id="132" w:name="_Hlk206793058"/>
      <w:r>
        <w:rPr>
          <w:rFonts w:hint="eastAsia" w:eastAsia="方正仿宋_GBK"/>
          <w:sz w:val="32"/>
          <w:szCs w:val="32"/>
        </w:rPr>
        <w:t>启动一级、二级应急响应时，应急指挥部总指挥、副总指挥、事发地所在区政府负责同志赶赴现场，应急指挥部安排相关成员单位组成现场指挥部，组织市级各相关应急工作小组按照职责开展先期应急救援行动，在上级应急指挥机构到达现场后移交指挥权，配合做好现场应急救援工作</w:t>
      </w:r>
      <w:bookmarkEnd w:id="132"/>
      <w:r>
        <w:rPr>
          <w:rFonts w:hint="eastAsia" w:eastAsia="方正仿宋_GBK"/>
          <w:sz w:val="32"/>
          <w:szCs w:val="32"/>
        </w:rPr>
        <w:t>。</w:t>
      </w:r>
    </w:p>
    <w:bookmarkEnd w:id="129"/>
    <w:p w14:paraId="0F98AD2B">
      <w:pPr>
        <w:spacing w:line="300" w:lineRule="auto"/>
        <w:ind w:firstLine="640" w:firstLineChars="200"/>
        <w:rPr>
          <w:rFonts w:hint="eastAsia" w:eastAsia="方正仿宋_GBK"/>
          <w:sz w:val="32"/>
          <w:szCs w:val="32"/>
        </w:rPr>
      </w:pPr>
      <w:bookmarkStart w:id="133" w:name="_Toc210837107"/>
      <w:r>
        <w:rPr>
          <w:rFonts w:hint="eastAsia" w:eastAsia="方正仿宋_GBK"/>
          <w:sz w:val="32"/>
          <w:szCs w:val="32"/>
        </w:rPr>
        <w:t>4.5.2  协调联动</w:t>
      </w:r>
      <w:bookmarkEnd w:id="133"/>
    </w:p>
    <w:p w14:paraId="001CA258">
      <w:pPr>
        <w:spacing w:line="300" w:lineRule="auto"/>
        <w:ind w:firstLine="640" w:firstLineChars="200"/>
        <w:rPr>
          <w:rFonts w:hint="eastAsia" w:eastAsia="方正仿宋_GBK"/>
          <w:sz w:val="32"/>
          <w:szCs w:val="32"/>
        </w:rPr>
      </w:pPr>
      <w:r>
        <w:rPr>
          <w:rFonts w:hint="eastAsia" w:eastAsia="方正仿宋_GBK"/>
          <w:sz w:val="32"/>
          <w:szCs w:val="32"/>
        </w:rPr>
        <w:t>（1）企业协调。新街口地铁站地下空间周边相关生产经营单位应急救援力量的协调，由玄武区、秦淮区、鼓楼区政府负责。</w:t>
      </w:r>
    </w:p>
    <w:p w14:paraId="6652534C">
      <w:pPr>
        <w:spacing w:line="300" w:lineRule="auto"/>
        <w:ind w:firstLine="640" w:firstLineChars="200"/>
        <w:rPr>
          <w:rFonts w:hint="eastAsia" w:eastAsia="方正仿宋_GBK"/>
          <w:sz w:val="32"/>
          <w:szCs w:val="32"/>
        </w:rPr>
      </w:pPr>
      <w:r>
        <w:rPr>
          <w:rFonts w:hint="eastAsia" w:eastAsia="方正仿宋_GBK"/>
          <w:sz w:val="32"/>
          <w:szCs w:val="32"/>
        </w:rPr>
        <w:t>（2）部门联动。各部门之间的协调联动，由应急指挥部办公室负责，相关参与部门和单位应全力予以配合。</w:t>
      </w:r>
    </w:p>
    <w:p w14:paraId="1F90DC93">
      <w:pPr>
        <w:spacing w:line="300" w:lineRule="auto"/>
        <w:ind w:firstLine="640" w:firstLineChars="200"/>
        <w:rPr>
          <w:rFonts w:hint="eastAsia" w:eastAsia="方正仿宋_GBK"/>
          <w:sz w:val="32"/>
          <w:szCs w:val="32"/>
        </w:rPr>
      </w:pPr>
      <w:r>
        <w:rPr>
          <w:rFonts w:hint="eastAsia" w:eastAsia="方正仿宋_GBK"/>
          <w:sz w:val="32"/>
          <w:szCs w:val="32"/>
        </w:rPr>
        <w:t>（3）行业联动。各行业之间的相互保障衔接行动，由市级行业主管部门负责，各单位根据指令积极组织救援力量响应行动。</w:t>
      </w:r>
    </w:p>
    <w:p w14:paraId="6034FFF5">
      <w:pPr>
        <w:spacing w:line="300" w:lineRule="auto"/>
        <w:ind w:firstLine="640" w:firstLineChars="200"/>
        <w:rPr>
          <w:rFonts w:hint="eastAsia" w:eastAsia="方正仿宋_GBK"/>
          <w:sz w:val="32"/>
          <w:szCs w:val="32"/>
        </w:rPr>
      </w:pPr>
      <w:r>
        <w:rPr>
          <w:rFonts w:hint="eastAsia" w:eastAsia="方正仿宋_GBK"/>
          <w:sz w:val="32"/>
          <w:szCs w:val="32"/>
        </w:rPr>
        <w:t>（4）区域联动。本市跨区域的应急保障联动，由应急指挥部组织协调，需要外市协调联动的，服从省应急指挥机构统一调遣。</w:t>
      </w:r>
    </w:p>
    <w:p w14:paraId="2AA16D88">
      <w:pPr>
        <w:spacing w:line="300" w:lineRule="auto"/>
        <w:ind w:firstLine="640" w:firstLineChars="200"/>
        <w:rPr>
          <w:rFonts w:hint="eastAsia" w:eastAsia="方正仿宋_GBK"/>
          <w:sz w:val="32"/>
          <w:szCs w:val="32"/>
        </w:rPr>
      </w:pPr>
      <w:bookmarkStart w:id="134" w:name="_Toc194395228"/>
      <w:bookmarkStart w:id="135" w:name="_Toc197669687"/>
      <w:bookmarkStart w:id="136" w:name="_Toc210837108"/>
      <w:r>
        <w:rPr>
          <w:rFonts w:hint="eastAsia" w:eastAsia="方正仿宋_GBK"/>
          <w:sz w:val="32"/>
          <w:szCs w:val="32"/>
        </w:rPr>
        <w:t xml:space="preserve">4.6  </w:t>
      </w:r>
      <w:bookmarkEnd w:id="134"/>
      <w:bookmarkEnd w:id="135"/>
      <w:r>
        <w:rPr>
          <w:rFonts w:hint="eastAsia" w:eastAsia="方正仿宋_GBK"/>
          <w:sz w:val="32"/>
          <w:szCs w:val="32"/>
        </w:rPr>
        <w:t>应急处置</w:t>
      </w:r>
      <w:bookmarkEnd w:id="136"/>
    </w:p>
    <w:p w14:paraId="02EC9ED2">
      <w:pPr>
        <w:spacing w:line="300" w:lineRule="auto"/>
        <w:ind w:firstLine="640" w:firstLineChars="200"/>
        <w:rPr>
          <w:rFonts w:hint="eastAsia" w:eastAsia="方正仿宋_GBK"/>
          <w:sz w:val="32"/>
          <w:szCs w:val="32"/>
        </w:rPr>
      </w:pPr>
      <w:bookmarkStart w:id="137" w:name="_Toc194395229"/>
      <w:bookmarkStart w:id="138" w:name="_Toc197669688"/>
      <w:bookmarkStart w:id="139" w:name="_Toc194395536"/>
      <w:bookmarkStart w:id="140" w:name="_Toc210837109"/>
      <w:r>
        <w:rPr>
          <w:rFonts w:hint="eastAsia" w:eastAsia="方正仿宋_GBK"/>
          <w:sz w:val="32"/>
          <w:szCs w:val="32"/>
        </w:rPr>
        <w:t xml:space="preserve">4.6.1  </w:t>
      </w:r>
      <w:bookmarkEnd w:id="137"/>
      <w:bookmarkEnd w:id="138"/>
      <w:bookmarkEnd w:id="139"/>
      <w:r>
        <w:rPr>
          <w:rFonts w:hint="eastAsia" w:eastAsia="方正仿宋_GBK"/>
          <w:sz w:val="32"/>
          <w:szCs w:val="32"/>
        </w:rPr>
        <w:t>基本措施</w:t>
      </w:r>
      <w:bookmarkEnd w:id="140"/>
    </w:p>
    <w:p w14:paraId="17753255">
      <w:pPr>
        <w:spacing w:line="300" w:lineRule="auto"/>
        <w:ind w:firstLine="640" w:firstLineChars="200"/>
        <w:rPr>
          <w:rFonts w:hint="eastAsia" w:eastAsia="方正仿宋_GBK"/>
          <w:sz w:val="32"/>
          <w:szCs w:val="32"/>
        </w:rPr>
      </w:pPr>
      <w:r>
        <w:rPr>
          <w:rFonts w:hint="eastAsia" w:eastAsia="方正仿宋_GBK"/>
          <w:sz w:val="32"/>
          <w:szCs w:val="32"/>
        </w:rPr>
        <w:t>新街口地铁站地下空间突发事件发生后，地铁运营单位与其他相关生产经营单位立即开展先期处置，全力控制事件发展态势。</w:t>
      </w:r>
    </w:p>
    <w:p w14:paraId="5084439C">
      <w:pPr>
        <w:spacing w:line="300" w:lineRule="auto"/>
        <w:ind w:firstLine="640" w:firstLineChars="200"/>
        <w:rPr>
          <w:rFonts w:hint="eastAsia" w:eastAsia="方正仿宋_GBK"/>
          <w:sz w:val="32"/>
          <w:szCs w:val="32"/>
        </w:rPr>
      </w:pPr>
      <w:r>
        <w:rPr>
          <w:rFonts w:hint="eastAsia" w:eastAsia="方正仿宋_GBK"/>
          <w:sz w:val="32"/>
          <w:szCs w:val="32"/>
        </w:rPr>
        <w:t>现场指挥部根据突发事件级别、类型、实际需求，设置并调派应急工作小组赶赴现场。各应急工作小组负责及时收集、掌握相关信息，在现场指挥部的领导下组织落实处置措施，并根据现场情况采取下列一项或者多项应急处置措施：</w:t>
      </w:r>
    </w:p>
    <w:p w14:paraId="5ED7A064">
      <w:pPr>
        <w:spacing w:line="300" w:lineRule="auto"/>
        <w:ind w:firstLine="640" w:firstLineChars="200"/>
        <w:rPr>
          <w:rFonts w:hint="eastAsia" w:eastAsia="方正仿宋_GBK"/>
          <w:sz w:val="32"/>
          <w:szCs w:val="32"/>
        </w:rPr>
      </w:pPr>
      <w:r>
        <w:rPr>
          <w:rFonts w:hint="eastAsia" w:eastAsia="方正仿宋_GBK"/>
          <w:sz w:val="32"/>
          <w:szCs w:val="32"/>
        </w:rPr>
        <w:t>（1）人员搜救。抢险救援组调派专业队伍、装备和物资，开展灭火防爆和被困人员搜救工作。警戒疏散组负责维护搜救现场外围秩序，划定救援通道警戒区并实施临时管制。</w:t>
      </w:r>
    </w:p>
    <w:p w14:paraId="28FC09E3">
      <w:pPr>
        <w:spacing w:line="300" w:lineRule="auto"/>
        <w:ind w:firstLine="640" w:firstLineChars="200"/>
        <w:rPr>
          <w:rFonts w:hint="eastAsia" w:eastAsia="方正仿宋_GBK"/>
          <w:sz w:val="32"/>
          <w:szCs w:val="32"/>
        </w:rPr>
      </w:pPr>
      <w:r>
        <w:rPr>
          <w:rFonts w:hint="eastAsia" w:eastAsia="方正仿宋_GBK"/>
          <w:sz w:val="32"/>
          <w:szCs w:val="32"/>
        </w:rPr>
        <w:t>（2）疏散转运。抢险救援组根据事件等级启动相应疏散措施，通过地铁广播系统、乘客信息系统发布疏散指令，组织站务人员引导乘客沿预设路线撤离。警戒疏散组按紧急疏导方案有序引导现场人员撤离，视情启动公交接驳，调整线路并调派车辆转运人员。</w:t>
      </w:r>
    </w:p>
    <w:p w14:paraId="35BADBB9">
      <w:pPr>
        <w:spacing w:line="300" w:lineRule="auto"/>
        <w:ind w:firstLine="640" w:firstLineChars="200"/>
        <w:rPr>
          <w:rFonts w:hint="eastAsia" w:eastAsia="方正仿宋_GBK"/>
          <w:sz w:val="32"/>
          <w:szCs w:val="32"/>
        </w:rPr>
      </w:pPr>
      <w:r>
        <w:rPr>
          <w:rFonts w:hint="eastAsia" w:eastAsia="方正仿宋_GBK"/>
          <w:sz w:val="32"/>
          <w:szCs w:val="32"/>
        </w:rPr>
        <w:t>（3）交通疏导。警戒疏散组对事发地点周边交通秩序进行维护疏导，防止发生大范围交通瘫痪，视情开通绿色通道，为应急车辆提供通行保障。</w:t>
      </w:r>
    </w:p>
    <w:p w14:paraId="03E459D7">
      <w:pPr>
        <w:spacing w:line="300" w:lineRule="auto"/>
        <w:ind w:firstLine="640" w:firstLineChars="200"/>
        <w:rPr>
          <w:rFonts w:hint="eastAsia" w:eastAsia="方正仿宋_GBK"/>
          <w:sz w:val="32"/>
          <w:szCs w:val="32"/>
        </w:rPr>
      </w:pPr>
      <w:r>
        <w:rPr>
          <w:rFonts w:hint="eastAsia" w:eastAsia="方正仿宋_GBK"/>
          <w:sz w:val="32"/>
          <w:szCs w:val="32"/>
        </w:rPr>
        <w:t>（4）医疗救援。医疗保障组迅速组织医疗应急救援力量，对伤员开展现场救援，及时将伤员转运至就近医疗机构进行救治。</w:t>
      </w:r>
    </w:p>
    <w:p w14:paraId="2F549978">
      <w:pPr>
        <w:spacing w:line="300" w:lineRule="auto"/>
        <w:ind w:firstLine="640" w:firstLineChars="200"/>
        <w:rPr>
          <w:rFonts w:hint="eastAsia" w:eastAsia="方正仿宋_GBK"/>
          <w:sz w:val="32"/>
          <w:szCs w:val="32"/>
        </w:rPr>
      </w:pPr>
      <w:r>
        <w:rPr>
          <w:rFonts w:hint="eastAsia" w:eastAsia="方正仿宋_GBK"/>
          <w:sz w:val="32"/>
          <w:szCs w:val="32"/>
        </w:rPr>
        <w:t>（5）抢修抢险。抢险救援组组织抢修抢险作业，抢修被损坏的通信、供水、排水、供电等设施。警戒疏散组在抢修现场外围设立安全警戒区，部署警力维护秩序，保障抢险作业安全。</w:t>
      </w:r>
    </w:p>
    <w:p w14:paraId="259315E7">
      <w:pPr>
        <w:spacing w:line="300" w:lineRule="auto"/>
        <w:ind w:firstLine="640" w:firstLineChars="200"/>
        <w:rPr>
          <w:rFonts w:hint="eastAsia" w:eastAsia="方正仿宋_GBK"/>
          <w:sz w:val="32"/>
          <w:szCs w:val="32"/>
        </w:rPr>
      </w:pPr>
      <w:r>
        <w:rPr>
          <w:rFonts w:hint="eastAsia" w:eastAsia="方正仿宋_GBK"/>
          <w:sz w:val="32"/>
          <w:szCs w:val="32"/>
        </w:rPr>
        <w:t>（6）现场维稳。警戒疏散组负责现场警戒及车辆疏导，做好事发现场及周边环境的保护和警戒，维护治安秩序，防止出现群体性事件。信息发布组实时发布事件进展，通过权威渠道持续、准确、客观通报情况，回应社会关切并澄清不实信息。</w:t>
      </w:r>
    </w:p>
    <w:p w14:paraId="5F2044FE">
      <w:pPr>
        <w:spacing w:line="300" w:lineRule="auto"/>
        <w:ind w:firstLine="640" w:firstLineChars="200"/>
        <w:rPr>
          <w:rFonts w:hint="eastAsia" w:eastAsia="方正仿宋_GBK"/>
          <w:sz w:val="32"/>
          <w:szCs w:val="32"/>
        </w:rPr>
      </w:pPr>
      <w:r>
        <w:rPr>
          <w:rFonts w:hint="eastAsia" w:eastAsia="方正仿宋_GBK"/>
          <w:sz w:val="32"/>
          <w:szCs w:val="32"/>
        </w:rPr>
        <w:t>（7）涉外处置。发生外籍人员涉事情况时，通知市政府外事办公室，由市公安局配合外事部门及时联络外籍涉事人员的驻华机构，通报情况，并做好善后处理工作。</w:t>
      </w:r>
    </w:p>
    <w:p w14:paraId="2E678C76">
      <w:pPr>
        <w:spacing w:line="300" w:lineRule="auto"/>
        <w:ind w:firstLine="640" w:firstLineChars="200"/>
        <w:rPr>
          <w:rFonts w:hint="eastAsia" w:eastAsia="方正仿宋_GBK"/>
          <w:sz w:val="32"/>
          <w:szCs w:val="32"/>
        </w:rPr>
      </w:pPr>
      <w:r>
        <w:rPr>
          <w:rFonts w:hint="eastAsia" w:eastAsia="方正仿宋_GBK"/>
          <w:sz w:val="32"/>
          <w:szCs w:val="32"/>
        </w:rPr>
        <w:t>（8）涉台处置。发生台胞涉事情况时，通知市委台湾工作办公室，协调处理事件中的涉台事宜。</w:t>
      </w:r>
    </w:p>
    <w:p w14:paraId="082072A0">
      <w:pPr>
        <w:spacing w:line="300" w:lineRule="auto"/>
        <w:ind w:firstLine="640" w:firstLineChars="200"/>
        <w:rPr>
          <w:rFonts w:hint="eastAsia" w:eastAsia="方正仿宋_GBK"/>
          <w:sz w:val="32"/>
          <w:szCs w:val="32"/>
        </w:rPr>
      </w:pPr>
      <w:r>
        <w:rPr>
          <w:rFonts w:hint="eastAsia" w:eastAsia="方正仿宋_GBK"/>
          <w:sz w:val="32"/>
          <w:szCs w:val="32"/>
        </w:rPr>
        <w:t>（9）各应急工作小组根据事态发展，采取其他必要措施防范次生、衍生灾害发生。</w:t>
      </w:r>
    </w:p>
    <w:p w14:paraId="3F4E899D">
      <w:pPr>
        <w:spacing w:line="300" w:lineRule="auto"/>
        <w:ind w:firstLine="640" w:firstLineChars="200"/>
        <w:rPr>
          <w:rFonts w:hint="eastAsia" w:eastAsia="方正仿宋_GBK"/>
          <w:sz w:val="32"/>
          <w:szCs w:val="32"/>
        </w:rPr>
      </w:pPr>
      <w:bookmarkStart w:id="141" w:name="_Toc197669689"/>
      <w:bookmarkStart w:id="142" w:name="_Toc194395230"/>
      <w:bookmarkStart w:id="143" w:name="_Toc194395537"/>
      <w:bookmarkStart w:id="144" w:name="_Toc210837110"/>
      <w:r>
        <w:rPr>
          <w:rFonts w:hint="eastAsia" w:eastAsia="方正仿宋_GBK"/>
          <w:sz w:val="32"/>
          <w:szCs w:val="32"/>
        </w:rPr>
        <w:t xml:space="preserve">4.6.2  </w:t>
      </w:r>
      <w:bookmarkEnd w:id="141"/>
      <w:bookmarkEnd w:id="142"/>
      <w:bookmarkEnd w:id="143"/>
      <w:r>
        <w:rPr>
          <w:rFonts w:hint="eastAsia" w:eastAsia="方正仿宋_GBK"/>
          <w:sz w:val="32"/>
          <w:szCs w:val="32"/>
        </w:rPr>
        <w:t>分类处置</w:t>
      </w:r>
      <w:bookmarkEnd w:id="144"/>
    </w:p>
    <w:p w14:paraId="66D57BAC">
      <w:pPr>
        <w:spacing w:line="300" w:lineRule="auto"/>
        <w:ind w:firstLine="640" w:firstLineChars="200"/>
        <w:rPr>
          <w:rFonts w:hint="eastAsia" w:eastAsia="方正仿宋_GBK"/>
          <w:sz w:val="32"/>
          <w:szCs w:val="32"/>
        </w:rPr>
      </w:pPr>
      <w:bookmarkStart w:id="145" w:name="OLE_LINK9"/>
      <w:r>
        <w:rPr>
          <w:rFonts w:hint="eastAsia" w:eastAsia="方正仿宋_GBK"/>
          <w:sz w:val="32"/>
          <w:szCs w:val="32"/>
        </w:rPr>
        <w:t>针对新街口地铁站地下空间大客流拥挤踩踏、人员疏散等重点风险突发事件，除基本措施外，各应急工作小组按照工作职责，根据现场情况采取下列应急处置措施。对于其他类型突发事件，主要依据相关专项预案处置，本预案通过应急指挥部办公室协调，现场指挥部提供人员疏散、队伍调配等支持。</w:t>
      </w:r>
    </w:p>
    <w:p w14:paraId="459819A1">
      <w:pPr>
        <w:spacing w:line="300" w:lineRule="auto"/>
        <w:ind w:firstLine="640" w:firstLineChars="200"/>
        <w:rPr>
          <w:rFonts w:hint="eastAsia" w:eastAsia="方正仿宋_GBK"/>
          <w:sz w:val="32"/>
          <w:szCs w:val="32"/>
        </w:rPr>
      </w:pPr>
      <w:r>
        <w:rPr>
          <w:rFonts w:hint="eastAsia" w:eastAsia="方正仿宋_GBK"/>
          <w:sz w:val="32"/>
          <w:szCs w:val="32"/>
        </w:rPr>
        <w:t>（一）大客流事件</w:t>
      </w:r>
    </w:p>
    <w:p w14:paraId="4C418533">
      <w:pPr>
        <w:spacing w:line="300" w:lineRule="auto"/>
        <w:ind w:firstLine="640" w:firstLineChars="200"/>
        <w:rPr>
          <w:rFonts w:hint="eastAsia" w:eastAsia="方正仿宋_GBK"/>
          <w:sz w:val="32"/>
          <w:szCs w:val="32"/>
        </w:rPr>
      </w:pPr>
      <w:r>
        <w:rPr>
          <w:rFonts w:hint="eastAsia" w:eastAsia="方正仿宋_GBK"/>
          <w:sz w:val="32"/>
          <w:szCs w:val="32"/>
        </w:rPr>
        <w:t>大客流突发事件达到应急响应启动标准后，由现场指挥部统一调度应急处置力量，警戒疏散组、应急保障组主要负责现场疏散路线制定、秩序维护、接驳需求制定、轨道交通运力调整方案制定、人员疏散引导等工作。大客流人员疏散工作需要充分发挥轨道交通与城市公交在应急疏散中的作用，依据站厅层、站台层、连接通道及出入口等空间功能，制定分区分路的疏散方案，控制人流交叉与回流，通过调度调线、限流控客等措施疏解客流。根据不同事故原因引起的大客流事件，视情采取以下措施：</w:t>
      </w:r>
    </w:p>
    <w:p w14:paraId="3633C811">
      <w:pPr>
        <w:spacing w:line="300" w:lineRule="auto"/>
        <w:ind w:firstLine="640" w:firstLineChars="200"/>
        <w:rPr>
          <w:rFonts w:hint="eastAsia" w:eastAsia="方正仿宋_GBK"/>
          <w:sz w:val="32"/>
          <w:szCs w:val="32"/>
        </w:rPr>
      </w:pPr>
      <w:r>
        <w:rPr>
          <w:rFonts w:hint="eastAsia" w:eastAsia="方正仿宋_GBK"/>
          <w:sz w:val="32"/>
          <w:szCs w:val="32"/>
        </w:rPr>
        <w:t>（1）高峰时段、特殊活动期间或因突发恐慌引发的人员滞留。</w:t>
      </w:r>
    </w:p>
    <w:p w14:paraId="4B55FB5E">
      <w:pPr>
        <w:spacing w:line="300" w:lineRule="auto"/>
        <w:ind w:firstLine="640" w:firstLineChars="200"/>
        <w:rPr>
          <w:rFonts w:hint="eastAsia" w:eastAsia="方正仿宋_GBK"/>
          <w:sz w:val="32"/>
          <w:szCs w:val="32"/>
        </w:rPr>
      </w:pPr>
      <w:r>
        <w:rPr>
          <w:rFonts w:hint="eastAsia" w:eastAsia="方正仿宋_GBK"/>
          <w:sz w:val="32"/>
          <w:szCs w:val="32"/>
        </w:rPr>
        <w:t>①警戒疏散组立即研判人员流向，开启疏散通道引导乘客疏散，设置人员临时通行方案，优化人员流动方向，避免人流交叉；通过多渠道、多平台发布地铁站疏散指引和应急信息，引导公众有序疏散；在重点区域设置警戒线，实施局部限流，维护现场秩序，防范踩踏风险；依规关闭非必要设施，从源头降低风险；组织对关键设施全面安全巡查，保障疏散通道畅通，必要时对地面道路实施交通管制，保障消防、救护等应急车辆通行顺畅。</w:t>
      </w:r>
    </w:p>
    <w:p w14:paraId="108D870C">
      <w:pPr>
        <w:spacing w:line="300" w:lineRule="auto"/>
        <w:ind w:firstLine="640" w:firstLineChars="200"/>
        <w:rPr>
          <w:rFonts w:hint="eastAsia" w:eastAsia="方正仿宋_GBK"/>
          <w:sz w:val="32"/>
          <w:szCs w:val="32"/>
        </w:rPr>
      </w:pPr>
      <w:r>
        <w:rPr>
          <w:rFonts w:hint="eastAsia" w:eastAsia="方正仿宋_GBK"/>
          <w:sz w:val="32"/>
          <w:szCs w:val="32"/>
        </w:rPr>
        <w:t>②应急保障组根据不同情况组织运力保障工作，若因大型活动、站台拥挤、站内滞留等造成人员向地面流动，应急保障组视情启动列车“跳站运行”模式，降低新街口地铁站停靠压力，将人流尽快疏散到地面或周边商业综合体；若因大型活动结束或其他原因造成人员向地铁站地下空间涌入，应急保障组视情组织地铁增发班次，提升运力保障，若地铁运力不足，则联络南京城建集团视情组织相关区域内公交车辆线路优化工作，根据需求启动地面公交接驳方案实施分流疏运。</w:t>
      </w:r>
    </w:p>
    <w:p w14:paraId="60483401">
      <w:pPr>
        <w:spacing w:line="300" w:lineRule="auto"/>
        <w:ind w:firstLine="640" w:firstLineChars="200"/>
        <w:rPr>
          <w:rFonts w:hint="eastAsia" w:eastAsia="方正仿宋_GBK"/>
          <w:sz w:val="32"/>
          <w:szCs w:val="32"/>
        </w:rPr>
      </w:pPr>
      <w:r>
        <w:rPr>
          <w:rFonts w:hint="eastAsia" w:eastAsia="方正仿宋_GBK"/>
          <w:sz w:val="32"/>
          <w:szCs w:val="32"/>
        </w:rPr>
        <w:t>③信息发布组及时、准确发布疏散指引、接驳安排、注意事项、交通管制等权威信息。</w:t>
      </w:r>
    </w:p>
    <w:p w14:paraId="7D5A55B5">
      <w:pPr>
        <w:spacing w:line="300" w:lineRule="auto"/>
        <w:ind w:firstLine="640" w:firstLineChars="200"/>
        <w:rPr>
          <w:rFonts w:hint="eastAsia" w:eastAsia="方正仿宋_GBK"/>
          <w:sz w:val="32"/>
          <w:szCs w:val="32"/>
        </w:rPr>
      </w:pPr>
      <w:r>
        <w:rPr>
          <w:rFonts w:hint="eastAsia" w:eastAsia="方正仿宋_GBK"/>
          <w:sz w:val="32"/>
          <w:szCs w:val="32"/>
        </w:rPr>
        <w:t>（2）因列车停运或1、2号线其他站点停运造成新街口地铁站地下空间人员滞留。</w:t>
      </w:r>
    </w:p>
    <w:p w14:paraId="225E10B2">
      <w:pPr>
        <w:spacing w:line="300" w:lineRule="auto"/>
        <w:ind w:firstLine="640" w:firstLineChars="200"/>
        <w:rPr>
          <w:rFonts w:hint="eastAsia" w:eastAsia="方正仿宋_GBK"/>
          <w:sz w:val="32"/>
          <w:szCs w:val="32"/>
        </w:rPr>
      </w:pPr>
      <w:r>
        <w:rPr>
          <w:rFonts w:hint="eastAsia" w:eastAsia="方正仿宋_GBK"/>
          <w:sz w:val="32"/>
          <w:szCs w:val="32"/>
        </w:rPr>
        <w:t>①警戒疏散组根据停运列车信息立即研判人员流动趋势，在站厅层、站台层部署引导力量，防止乘客误入停运线路方向，并根据现场情况设置临时围栏、疏导通道，组织人流有序疏散至地面，当站台层、站厅层客流饱和时，选择封闭部分出入口或仅允许单向通行，防止客流持续涌入地铁站内；视现场客流饱和程度，对地面道路实施临时交通管制，引导社会车辆绕行，保障人流通行空间；</w:t>
      </w:r>
      <w:bookmarkStart w:id="146" w:name="_Hlk206804486"/>
      <w:r>
        <w:rPr>
          <w:rFonts w:hint="eastAsia" w:eastAsia="方正仿宋_GBK"/>
          <w:sz w:val="32"/>
          <w:szCs w:val="32"/>
        </w:rPr>
        <w:t>若人员滞留在轨行区，警戒疏散组立即扣停驶向故障区域的列车，发布封锁调令与乘客疏散指令，通知1号线新街口站、2号线新街口站地铁运营管理人员，前往疏散地点进行引导。</w:t>
      </w:r>
    </w:p>
    <w:bookmarkEnd w:id="146"/>
    <w:p w14:paraId="59962F9E">
      <w:pPr>
        <w:spacing w:line="300" w:lineRule="auto"/>
        <w:ind w:firstLine="640" w:firstLineChars="200"/>
        <w:rPr>
          <w:rFonts w:hint="eastAsia" w:eastAsia="方正仿宋_GBK"/>
          <w:sz w:val="32"/>
          <w:szCs w:val="32"/>
        </w:rPr>
      </w:pPr>
      <w:r>
        <w:rPr>
          <w:rFonts w:hint="eastAsia" w:eastAsia="方正仿宋_GBK"/>
          <w:sz w:val="32"/>
          <w:szCs w:val="32"/>
        </w:rPr>
        <w:t>②应急保障组根据地铁运行条件，若部分线路仍具备运营能力，可采取跳站运行、单向运行等方式，减少新街口地铁站停靠压力；</w:t>
      </w:r>
      <w:bookmarkStart w:id="147" w:name="_Hlk206799281"/>
      <w:r>
        <w:rPr>
          <w:rFonts w:hint="eastAsia" w:eastAsia="方正仿宋_GBK"/>
          <w:sz w:val="32"/>
          <w:szCs w:val="32"/>
        </w:rPr>
        <w:t>若1号线、2号线轨道交通同一区段双向行车可能中断30分钟及以上，或在轨道交通某一区段单向行车可能中断40分钟，部分区间采用单线双向行车，且单向行车间隔20分钟以上，或1号线、2号线全面停运，或轨道交通运力不足需要公交接驳支持时，应急保障组根据南京地铁集团上报的接驳需求，联络南京城建集团组织相关区域内公交车辆线路优化工作，根据需求启动地面公交接驳方案实施分流疏运。</w:t>
      </w:r>
    </w:p>
    <w:bookmarkEnd w:id="147"/>
    <w:p w14:paraId="6AD3604E">
      <w:pPr>
        <w:spacing w:line="300" w:lineRule="auto"/>
        <w:ind w:firstLine="640" w:firstLineChars="200"/>
        <w:rPr>
          <w:rFonts w:hint="eastAsia" w:eastAsia="方正仿宋_GBK"/>
          <w:sz w:val="32"/>
          <w:szCs w:val="32"/>
        </w:rPr>
      </w:pPr>
      <w:r>
        <w:rPr>
          <w:rFonts w:hint="eastAsia" w:eastAsia="方正仿宋_GBK"/>
          <w:sz w:val="32"/>
          <w:szCs w:val="32"/>
        </w:rPr>
        <w:t>③信息发布组及时、准确发布疏散指引、接驳安排、注意事项、交通管制等权威信息。</w:t>
      </w:r>
    </w:p>
    <w:p w14:paraId="769DC5F7">
      <w:pPr>
        <w:spacing w:line="300" w:lineRule="auto"/>
        <w:ind w:firstLine="640" w:firstLineChars="200"/>
        <w:rPr>
          <w:rFonts w:hint="eastAsia" w:eastAsia="方正仿宋_GBK"/>
          <w:sz w:val="32"/>
          <w:szCs w:val="32"/>
        </w:rPr>
      </w:pPr>
      <w:r>
        <w:rPr>
          <w:rFonts w:hint="eastAsia" w:eastAsia="方正仿宋_GBK"/>
          <w:sz w:val="32"/>
          <w:szCs w:val="32"/>
        </w:rPr>
        <w:t>其他原因引发的大客流事件，可参照以上处置原则与措施，结合现场实际由现场指挥部统一研判、动态调整处置方案。</w:t>
      </w:r>
    </w:p>
    <w:p w14:paraId="03AE7AD1">
      <w:pPr>
        <w:spacing w:line="300" w:lineRule="auto"/>
        <w:ind w:firstLine="640" w:firstLineChars="200"/>
        <w:rPr>
          <w:rFonts w:hint="eastAsia" w:eastAsia="方正仿宋_GBK"/>
          <w:sz w:val="32"/>
          <w:szCs w:val="32"/>
        </w:rPr>
      </w:pPr>
      <w:r>
        <w:rPr>
          <w:rFonts w:hint="eastAsia" w:eastAsia="方正仿宋_GBK"/>
          <w:sz w:val="32"/>
          <w:szCs w:val="32"/>
        </w:rPr>
        <w:t>（二）火灾事故</w:t>
      </w:r>
    </w:p>
    <w:p w14:paraId="03755682">
      <w:pPr>
        <w:spacing w:line="300" w:lineRule="auto"/>
        <w:ind w:firstLine="640" w:firstLineChars="200"/>
        <w:rPr>
          <w:rFonts w:hint="eastAsia" w:eastAsia="方正仿宋_GBK"/>
          <w:sz w:val="32"/>
          <w:szCs w:val="32"/>
        </w:rPr>
      </w:pPr>
      <w:r>
        <w:rPr>
          <w:rFonts w:hint="eastAsia" w:eastAsia="方正仿宋_GBK"/>
          <w:sz w:val="32"/>
          <w:szCs w:val="32"/>
        </w:rPr>
        <w:t>火灾事故达到应急响应启动标准后，由现场指挥部统一调度应急处置力量，负责开展人员疏散、秩序维护、运力调度、医疗救治和信息发布等工作，人员疏散应综合考虑火源位置、烟气走向、站内各功能区布局以及列车运行状态，科学制定分区疏散路线，引导人群向安全区域撤离；当地铁具备运营能力时，应充分发挥轨道交通在应急转移中的作用，必要时协调启动公交接驳支持，保障疏散通道畅通。火灾事故专业处置措施依据《南京市重特大火灾事故应急预案》《南京市火灾事故联动处置工作机制》（宁消委办</w:t>
      </w:r>
      <w:r>
        <w:rPr>
          <w:rFonts w:hint="eastAsia" w:eastAsia="方正仿宋_GBK" w:cs="宋体"/>
          <w:sz w:val="32"/>
          <w:szCs w:val="32"/>
        </w:rPr>
        <w:t>﹝</w:t>
      </w:r>
      <w:r>
        <w:rPr>
          <w:rFonts w:hint="eastAsia" w:eastAsia="方正仿宋_GBK"/>
          <w:sz w:val="32"/>
          <w:szCs w:val="32"/>
        </w:rPr>
        <w:t>2025</w:t>
      </w:r>
      <w:r>
        <w:rPr>
          <w:rFonts w:hint="eastAsia" w:eastAsia="方正仿宋_GBK" w:cs="宋体"/>
          <w:sz w:val="32"/>
          <w:szCs w:val="32"/>
        </w:rPr>
        <w:t>﹞</w:t>
      </w:r>
      <w:r>
        <w:rPr>
          <w:rFonts w:hint="eastAsia" w:eastAsia="方正仿宋_GBK"/>
          <w:sz w:val="32"/>
          <w:szCs w:val="32"/>
        </w:rPr>
        <w:t>61号）等执行。</w:t>
      </w:r>
    </w:p>
    <w:p w14:paraId="4AA75269">
      <w:pPr>
        <w:spacing w:line="300" w:lineRule="auto"/>
        <w:ind w:firstLine="640" w:firstLineChars="200"/>
        <w:rPr>
          <w:rFonts w:hint="eastAsia" w:eastAsia="方正仿宋_GBK"/>
          <w:sz w:val="32"/>
          <w:szCs w:val="32"/>
        </w:rPr>
      </w:pPr>
      <w:r>
        <w:rPr>
          <w:rFonts w:hint="eastAsia" w:eastAsia="方正仿宋_GBK"/>
          <w:sz w:val="32"/>
          <w:szCs w:val="32"/>
        </w:rPr>
        <w:t>（三）地下空间内涝事件</w:t>
      </w:r>
    </w:p>
    <w:p w14:paraId="715D2425">
      <w:pPr>
        <w:spacing w:line="300" w:lineRule="auto"/>
        <w:ind w:firstLine="640" w:firstLineChars="200"/>
        <w:rPr>
          <w:rFonts w:hint="eastAsia" w:eastAsia="方正仿宋_GBK"/>
          <w:sz w:val="32"/>
          <w:szCs w:val="32"/>
        </w:rPr>
      </w:pPr>
      <w:r>
        <w:rPr>
          <w:rFonts w:hint="eastAsia" w:eastAsia="方正仿宋_GBK"/>
          <w:sz w:val="32"/>
          <w:szCs w:val="32"/>
        </w:rPr>
        <w:t>地下空间内涝事件的处置以预警阶段防御响应工作为主，逐步实施巡查监测、出入口封闭、车站关停等措施。若在防御响应过程中因强降雨突然加剧、排水系统失效等原因导致险情超出预期、内涝影响列车运行，或个别区域仍存在滞留人员、设备受困等情况，须立即转入应急处置程序，由现场指挥部统一调度应急力量，抢险救援组牵头开展抢险排涝、设施保护等工作，其他相关应急小组协助开展人员疏散、交通管制等工作。应急工作小组可视情采取下列措施：</w:t>
      </w:r>
    </w:p>
    <w:p w14:paraId="40171F8C">
      <w:pPr>
        <w:spacing w:line="300" w:lineRule="auto"/>
        <w:ind w:firstLine="640" w:firstLineChars="200"/>
        <w:rPr>
          <w:rFonts w:hint="eastAsia" w:eastAsia="方正仿宋_GBK"/>
          <w:sz w:val="32"/>
          <w:szCs w:val="32"/>
        </w:rPr>
      </w:pPr>
      <w:r>
        <w:rPr>
          <w:rFonts w:hint="eastAsia" w:eastAsia="方正仿宋_GBK"/>
          <w:sz w:val="32"/>
          <w:szCs w:val="32"/>
        </w:rPr>
        <w:t>（1）警戒疏散组立即关闭受影响出入口，在积水区域铺设防滑垫，设置警戒线与疏导通道，全面排查未撤离区域，组织乘客和滞留人员撤离至站厅高处、就近出入口或地面等安全区域，引导人流远离低洼地带及深水区域；加强对周边警戒，防止无关人员进入，引导向周边商业综合体及地面疏散；设置应急照明标识，避免人员误入深水区域。</w:t>
      </w:r>
    </w:p>
    <w:p w14:paraId="39827DE1">
      <w:pPr>
        <w:spacing w:line="300" w:lineRule="auto"/>
        <w:ind w:firstLine="640" w:firstLineChars="200"/>
        <w:rPr>
          <w:rFonts w:hint="eastAsia" w:eastAsia="方正仿宋_GBK"/>
          <w:sz w:val="32"/>
          <w:szCs w:val="32"/>
        </w:rPr>
      </w:pPr>
      <w:r>
        <w:rPr>
          <w:rFonts w:hint="eastAsia" w:eastAsia="方正仿宋_GBK"/>
          <w:sz w:val="32"/>
          <w:szCs w:val="32"/>
        </w:rPr>
        <w:t>（2）信息发布组发布封站说明、人员疏散、交通线路调整等信息。</w:t>
      </w:r>
    </w:p>
    <w:p w14:paraId="7FC0AF4A">
      <w:pPr>
        <w:spacing w:line="300" w:lineRule="auto"/>
        <w:ind w:firstLine="640" w:firstLineChars="200"/>
        <w:rPr>
          <w:rFonts w:hint="eastAsia" w:eastAsia="方正仿宋_GBK"/>
          <w:sz w:val="32"/>
          <w:szCs w:val="32"/>
        </w:rPr>
      </w:pPr>
      <w:r>
        <w:rPr>
          <w:rFonts w:hint="eastAsia" w:eastAsia="方正仿宋_GBK"/>
          <w:sz w:val="32"/>
          <w:szCs w:val="32"/>
        </w:rPr>
        <w:t>地下空间内涝专业处置依据《南京市主城区防汛应急预案》《南京市城市轨道交通运营突发事件应急预案》等相关预案执行。</w:t>
      </w:r>
    </w:p>
    <w:p w14:paraId="4DE1422A">
      <w:pPr>
        <w:spacing w:line="300" w:lineRule="auto"/>
        <w:ind w:firstLine="640" w:firstLineChars="200"/>
        <w:rPr>
          <w:rFonts w:hint="eastAsia" w:eastAsia="方正仿宋_GBK"/>
          <w:sz w:val="32"/>
          <w:szCs w:val="32"/>
        </w:rPr>
      </w:pPr>
      <w:r>
        <w:rPr>
          <w:rFonts w:hint="eastAsia" w:eastAsia="方正仿宋_GBK"/>
          <w:sz w:val="32"/>
          <w:szCs w:val="32"/>
        </w:rPr>
        <w:t>（四）结构病害事件</w:t>
      </w:r>
    </w:p>
    <w:p w14:paraId="7843662C">
      <w:pPr>
        <w:spacing w:line="300" w:lineRule="auto"/>
        <w:ind w:firstLine="640" w:firstLineChars="200"/>
        <w:rPr>
          <w:rFonts w:hint="eastAsia" w:eastAsia="方正仿宋_GBK"/>
          <w:sz w:val="32"/>
          <w:szCs w:val="32"/>
        </w:rPr>
      </w:pPr>
      <w:r>
        <w:rPr>
          <w:rFonts w:hint="eastAsia" w:eastAsia="方正仿宋_GBK"/>
          <w:sz w:val="32"/>
          <w:szCs w:val="32"/>
        </w:rPr>
        <w:t>当新街口地铁站地下空间内因结构病害造成人员伤亡、财产损失或影响地铁列车正常运营时，启动突发事件应急响应。结构病害处置应坚持“控险为主、抢修为辅、研判先行”的原则，在确保不扩大风险的前提下推进后续修复工作，若确有整体结构安全失稳风险、影响人员生命安全的，现场指挥部应果断组织人员撤离，优先保障疏散通道畅通与群众生命安全。应急工作小组可视情采取下列措施：</w:t>
      </w:r>
    </w:p>
    <w:p w14:paraId="185308E7">
      <w:pPr>
        <w:spacing w:line="300" w:lineRule="auto"/>
        <w:ind w:firstLine="640" w:firstLineChars="200"/>
        <w:rPr>
          <w:rFonts w:hint="eastAsia" w:eastAsia="方正仿宋_GBK"/>
          <w:sz w:val="32"/>
          <w:szCs w:val="32"/>
        </w:rPr>
      </w:pPr>
      <w:r>
        <w:rPr>
          <w:rFonts w:hint="eastAsia" w:eastAsia="方正仿宋_GBK"/>
          <w:sz w:val="32"/>
          <w:szCs w:val="32"/>
        </w:rPr>
        <w:t>（1）抢险救援组立即组织专家对应急结构病害部位进行损害研判，根据检测结果实施加固支护、封闭围挡、构件修补或紧急抢修等措施；部署人员搜救、重点区域值守与重要物资转移工作，严防结构进一步失稳引发次生灾害；在病害影响范围波及设备设施区域时，暂停相关区域的行车、通行或电力设备运行，消除安全隐患。</w:t>
      </w:r>
    </w:p>
    <w:p w14:paraId="76EC87F8">
      <w:pPr>
        <w:spacing w:line="300" w:lineRule="auto"/>
        <w:ind w:firstLine="640" w:firstLineChars="200"/>
        <w:rPr>
          <w:rFonts w:hint="eastAsia" w:eastAsia="方正仿宋_GBK"/>
          <w:sz w:val="32"/>
          <w:szCs w:val="32"/>
        </w:rPr>
      </w:pPr>
      <w:r>
        <w:rPr>
          <w:rFonts w:hint="eastAsia" w:eastAsia="方正仿宋_GBK"/>
          <w:sz w:val="32"/>
          <w:szCs w:val="32"/>
        </w:rPr>
        <w:t>（2）警戒疏散组关闭受损区域出入口、楼梯、电梯等高风险通行设施，设置警戒线与隔离带，划定禁止通行区域，阻止无关人员进入；结合病害位置与扩展方向，制定人流绕行方案，引导乘客避开病害区域通行；在抢险作业开展期间，视情对地面交通实施管制，引导社会车辆避开事发区域，保障救援通道畅通。</w:t>
      </w:r>
    </w:p>
    <w:p w14:paraId="121CA262">
      <w:pPr>
        <w:spacing w:line="300" w:lineRule="auto"/>
        <w:ind w:firstLine="640" w:firstLineChars="200"/>
        <w:rPr>
          <w:rFonts w:hint="eastAsia" w:eastAsia="方正仿宋_GBK"/>
          <w:sz w:val="32"/>
          <w:szCs w:val="32"/>
        </w:rPr>
      </w:pPr>
      <w:r>
        <w:rPr>
          <w:rFonts w:hint="eastAsia" w:eastAsia="方正仿宋_GBK"/>
          <w:sz w:val="32"/>
          <w:szCs w:val="32"/>
        </w:rPr>
        <w:t>（3）应急保障组协助调配抢修所需物资，协调专业人员进场作业，确保病害处置工作的持续推进；在病害区域影响站内运营系统、照明、通风等功能时，制定电力临时供给等方案，维持核心区域功能运行。</w:t>
      </w:r>
    </w:p>
    <w:p w14:paraId="71478096">
      <w:pPr>
        <w:spacing w:line="300" w:lineRule="auto"/>
        <w:ind w:firstLine="640" w:firstLineChars="200"/>
        <w:rPr>
          <w:rFonts w:hint="eastAsia" w:eastAsia="方正仿宋_GBK"/>
          <w:sz w:val="32"/>
          <w:szCs w:val="32"/>
        </w:rPr>
      </w:pPr>
      <w:r>
        <w:rPr>
          <w:rFonts w:hint="eastAsia" w:eastAsia="方正仿宋_GBK"/>
          <w:sz w:val="32"/>
          <w:szCs w:val="32"/>
        </w:rPr>
        <w:t>涉及列车运营事故、设施设备故障、损毁等处置，依据《南京市城市轨道交通运营突发事件应急预案》执行。</w:t>
      </w:r>
    </w:p>
    <w:p w14:paraId="019E9EE3">
      <w:pPr>
        <w:spacing w:line="300" w:lineRule="auto"/>
        <w:ind w:firstLine="640" w:firstLineChars="200"/>
        <w:rPr>
          <w:rFonts w:hint="eastAsia" w:eastAsia="方正仿宋_GBK"/>
          <w:sz w:val="32"/>
          <w:szCs w:val="32"/>
        </w:rPr>
      </w:pPr>
      <w:r>
        <w:rPr>
          <w:rFonts w:hint="eastAsia" w:eastAsia="方正仿宋_GBK"/>
          <w:sz w:val="32"/>
          <w:szCs w:val="32"/>
        </w:rPr>
        <w:t>（五）社会安全事件</w:t>
      </w:r>
    </w:p>
    <w:p w14:paraId="6F7212AE">
      <w:pPr>
        <w:spacing w:line="300" w:lineRule="auto"/>
        <w:ind w:firstLine="640" w:firstLineChars="200"/>
        <w:rPr>
          <w:rFonts w:hint="eastAsia" w:eastAsia="方正仿宋_GBK"/>
          <w:sz w:val="32"/>
          <w:szCs w:val="32"/>
        </w:rPr>
      </w:pPr>
      <w:r>
        <w:rPr>
          <w:rFonts w:hint="eastAsia" w:eastAsia="方正仿宋_GBK"/>
          <w:sz w:val="32"/>
          <w:szCs w:val="32"/>
        </w:rPr>
        <w:t>当新街口地铁站地下空间内发生社会安全事件造成现场秩序严重混乱、人员伤亡、运营中断等情形，启动应急响应。警戒疏散组、应急保障组等根据事件性质，负责现场秩序维护、人员疏导、警戒封控、伤员救治等工作。根据不同社会安全事件的特点，视情采取分场景的具体应急措施：</w:t>
      </w:r>
    </w:p>
    <w:p w14:paraId="45B27755">
      <w:pPr>
        <w:spacing w:line="300" w:lineRule="auto"/>
        <w:ind w:firstLine="640" w:firstLineChars="200"/>
        <w:rPr>
          <w:rFonts w:hint="eastAsia" w:eastAsia="方正仿宋_GBK"/>
          <w:sz w:val="32"/>
          <w:szCs w:val="32"/>
        </w:rPr>
      </w:pPr>
      <w:r>
        <w:rPr>
          <w:rFonts w:hint="eastAsia" w:eastAsia="方正仿宋_GBK"/>
          <w:sz w:val="32"/>
          <w:szCs w:val="32"/>
        </w:rPr>
        <w:t>（1）人员拥挤踩踏</w:t>
      </w:r>
    </w:p>
    <w:p w14:paraId="0B42B788">
      <w:pPr>
        <w:spacing w:line="300" w:lineRule="auto"/>
        <w:ind w:firstLine="640" w:firstLineChars="200"/>
        <w:rPr>
          <w:rFonts w:hint="eastAsia" w:eastAsia="方正仿宋_GBK"/>
          <w:sz w:val="32"/>
          <w:szCs w:val="32"/>
        </w:rPr>
      </w:pPr>
      <w:r>
        <w:rPr>
          <w:rFonts w:hint="eastAsia" w:eastAsia="方正仿宋_GBK"/>
          <w:sz w:val="32"/>
          <w:szCs w:val="32"/>
        </w:rPr>
        <w:t>①警戒疏散组立即确定拥挤踩踏区域，通过喊话器、广播系统等迅速发出指令，引导人群停止挤压，向两侧或安全区域疏散；迅速划定警戒区，调集力量控制人流方向，避免更多人员涌入踩踏区域，防止二次伤害；开启最近的疏散通道和出入口，设置人员临时通行方案，优化人员流动方向，确保疏散通道畅通；视情对地面道路实施交通管制，保障消防、救护等应急车辆通行顺畅。</w:t>
      </w:r>
    </w:p>
    <w:p w14:paraId="0A4EB277">
      <w:pPr>
        <w:spacing w:line="300" w:lineRule="auto"/>
        <w:ind w:firstLine="640" w:firstLineChars="200"/>
        <w:rPr>
          <w:rFonts w:hint="eastAsia" w:eastAsia="方正仿宋_GBK"/>
          <w:sz w:val="32"/>
          <w:szCs w:val="32"/>
        </w:rPr>
      </w:pPr>
      <w:bookmarkStart w:id="148" w:name="_Hlk206806557"/>
      <w:r>
        <w:rPr>
          <w:rFonts w:hint="eastAsia" w:eastAsia="方正仿宋_GBK"/>
          <w:sz w:val="32"/>
          <w:szCs w:val="32"/>
        </w:rPr>
        <w:t>②医疗保障组迅速赶赴现场，对因拥挤踩踏而晕厥、受伤的群众进行紧急医疗救治；评估地下空间人员密度和通风、通行条件，如条件允许可在出入口附近或站外地面区域设立临时救治点；如不具备站内停留条件，应优先将伤员引导至地面安全区域，再由专业救护力量开展分流救治和转运工作。</w:t>
      </w:r>
    </w:p>
    <w:bookmarkEnd w:id="148"/>
    <w:p w14:paraId="7E8D8376">
      <w:pPr>
        <w:spacing w:line="300" w:lineRule="auto"/>
        <w:ind w:firstLine="640" w:firstLineChars="200"/>
        <w:rPr>
          <w:rFonts w:hint="eastAsia" w:eastAsia="方正仿宋_GBK"/>
          <w:sz w:val="32"/>
          <w:szCs w:val="32"/>
        </w:rPr>
      </w:pPr>
      <w:r>
        <w:rPr>
          <w:rFonts w:hint="eastAsia" w:eastAsia="方正仿宋_GBK"/>
          <w:sz w:val="32"/>
          <w:szCs w:val="32"/>
        </w:rPr>
        <w:t>③应急保障组调配人力和救助物资，协助开展现场应急处置与疏散；若大规模拥挤踩踏事故发生在站台层，则视情启动跳站运行模式，降低新街口地铁站停靠压力，将人流尽快疏散到地面或周边商业综合体。</w:t>
      </w:r>
    </w:p>
    <w:p w14:paraId="5A722C88">
      <w:pPr>
        <w:spacing w:line="300" w:lineRule="auto"/>
        <w:ind w:firstLine="640" w:firstLineChars="200"/>
        <w:rPr>
          <w:rFonts w:hint="eastAsia" w:eastAsia="方正仿宋_GBK"/>
          <w:sz w:val="32"/>
          <w:szCs w:val="32"/>
        </w:rPr>
      </w:pPr>
      <w:r>
        <w:rPr>
          <w:rFonts w:hint="eastAsia" w:eastAsia="方正仿宋_GBK"/>
          <w:sz w:val="32"/>
          <w:szCs w:val="32"/>
        </w:rPr>
        <w:t>（2）大规模群体性事件、恐怖袭击等</w:t>
      </w:r>
    </w:p>
    <w:p w14:paraId="50CDBA6E">
      <w:pPr>
        <w:spacing w:line="300" w:lineRule="auto"/>
        <w:ind w:firstLine="640" w:firstLineChars="200"/>
        <w:rPr>
          <w:rFonts w:hint="eastAsia" w:eastAsia="方正仿宋_GBK"/>
          <w:sz w:val="32"/>
          <w:szCs w:val="32"/>
        </w:rPr>
      </w:pPr>
      <w:r>
        <w:rPr>
          <w:rFonts w:hint="eastAsia" w:eastAsia="方正仿宋_GBK"/>
          <w:sz w:val="32"/>
          <w:szCs w:val="32"/>
        </w:rPr>
        <w:t>发生大规模群体性事件、恐怖袭击、涉外突发事件等社会安全类事件，处置措施依据《南京市大规模群体性事件应急预案》等相关预案执行。</w:t>
      </w:r>
    </w:p>
    <w:p w14:paraId="07991F9F">
      <w:pPr>
        <w:spacing w:line="300" w:lineRule="auto"/>
        <w:ind w:firstLine="640" w:firstLineChars="200"/>
        <w:rPr>
          <w:rFonts w:hint="eastAsia" w:eastAsia="方正仿宋_GBK"/>
          <w:sz w:val="32"/>
          <w:szCs w:val="32"/>
        </w:rPr>
      </w:pPr>
      <w:r>
        <w:rPr>
          <w:rFonts w:hint="eastAsia" w:eastAsia="方正仿宋_GBK"/>
          <w:sz w:val="32"/>
          <w:szCs w:val="32"/>
        </w:rPr>
        <w:t>（六）公共卫生事件</w:t>
      </w:r>
    </w:p>
    <w:p w14:paraId="70C17E09">
      <w:pPr>
        <w:spacing w:line="300" w:lineRule="auto"/>
        <w:ind w:firstLine="640" w:firstLineChars="200"/>
        <w:rPr>
          <w:rFonts w:hint="eastAsia" w:eastAsia="方正仿宋_GBK"/>
          <w:sz w:val="32"/>
          <w:szCs w:val="32"/>
        </w:rPr>
      </w:pPr>
      <w:r>
        <w:rPr>
          <w:rFonts w:hint="eastAsia" w:eastAsia="方正仿宋_GBK"/>
          <w:sz w:val="32"/>
          <w:szCs w:val="32"/>
        </w:rPr>
        <w:t>新街口地铁站地下空间内若发生传染病暴发、群体性食物中毒等公共卫生事件达到突发事件等级的，立即启动应急响应。现场指挥部统一调度应急力量，负责人员疏散、队伍调配等支持，专业处置措施依据《南京市突发公共卫生事件应急预案》等相关预案执行。</w:t>
      </w:r>
    </w:p>
    <w:bookmarkEnd w:id="145"/>
    <w:p w14:paraId="6B1D95CD">
      <w:pPr>
        <w:spacing w:line="300" w:lineRule="auto"/>
        <w:ind w:firstLine="640" w:firstLineChars="200"/>
        <w:rPr>
          <w:rFonts w:hint="eastAsia" w:eastAsia="方正仿宋_GBK"/>
          <w:sz w:val="32"/>
          <w:szCs w:val="32"/>
        </w:rPr>
      </w:pPr>
      <w:bookmarkStart w:id="149" w:name="_Toc194395231"/>
      <w:bookmarkStart w:id="150" w:name="_Toc197669690"/>
      <w:bookmarkStart w:id="151" w:name="_Toc210837111"/>
      <w:r>
        <w:rPr>
          <w:rFonts w:hint="eastAsia" w:eastAsia="方正仿宋_GBK"/>
          <w:sz w:val="32"/>
          <w:szCs w:val="32"/>
        </w:rPr>
        <w:t>4.7  响应调整与终止</w:t>
      </w:r>
      <w:bookmarkEnd w:id="149"/>
      <w:bookmarkEnd w:id="150"/>
      <w:bookmarkEnd w:id="151"/>
    </w:p>
    <w:p w14:paraId="20E7D3C8">
      <w:pPr>
        <w:spacing w:line="300" w:lineRule="auto"/>
        <w:ind w:firstLine="640" w:firstLineChars="200"/>
        <w:rPr>
          <w:rFonts w:hint="eastAsia" w:eastAsia="方正仿宋_GBK"/>
          <w:sz w:val="32"/>
          <w:szCs w:val="32"/>
        </w:rPr>
      </w:pPr>
      <w:r>
        <w:rPr>
          <w:rFonts w:hint="eastAsia" w:eastAsia="方正仿宋_GBK"/>
          <w:sz w:val="32"/>
          <w:szCs w:val="32"/>
        </w:rPr>
        <w:t>当突发事件随事态发展进一步加重，并有蔓延扩大的趋势时，应向上级单位报告，提高响应级别。当突发事件未达到本预案级别时，向应急指挥部报告，经批准后降低响应级别。</w:t>
      </w:r>
    </w:p>
    <w:p w14:paraId="118B782F">
      <w:pPr>
        <w:spacing w:line="300" w:lineRule="auto"/>
        <w:ind w:firstLine="640" w:firstLineChars="200"/>
        <w:rPr>
          <w:rFonts w:hint="eastAsia" w:eastAsia="方正仿宋_GBK"/>
          <w:sz w:val="32"/>
          <w:szCs w:val="32"/>
        </w:rPr>
      </w:pPr>
      <w:r>
        <w:rPr>
          <w:rFonts w:hint="eastAsia" w:eastAsia="方正仿宋_GBK"/>
          <w:sz w:val="32"/>
          <w:szCs w:val="32"/>
        </w:rPr>
        <w:t>突发事件现场处理完毕、次生灾害后果基本消除，经现场检查、征询专家意见后，由现场指挥部提出应急响应终止建议，各响应级别终止命令由原启动单位下达。</w:t>
      </w:r>
    </w:p>
    <w:p w14:paraId="629710CD">
      <w:pPr>
        <w:spacing w:line="300" w:lineRule="auto"/>
        <w:ind w:firstLine="640" w:firstLineChars="200"/>
        <w:rPr>
          <w:rFonts w:hint="eastAsia" w:eastAsia="方正仿宋_GBK"/>
          <w:sz w:val="32"/>
          <w:szCs w:val="32"/>
        </w:rPr>
      </w:pPr>
      <w:r>
        <w:rPr>
          <w:rFonts w:hint="eastAsia" w:eastAsia="方正仿宋_GBK"/>
          <w:sz w:val="32"/>
          <w:szCs w:val="32"/>
        </w:rPr>
        <w:t>确认具备运营条件后，地铁运营单位应尽快恢复正常运营。</w:t>
      </w:r>
    </w:p>
    <w:p w14:paraId="1059B8AC">
      <w:pPr>
        <w:spacing w:line="300" w:lineRule="auto"/>
        <w:ind w:firstLine="640" w:firstLineChars="200"/>
        <w:rPr>
          <w:rFonts w:hint="eastAsia" w:ascii="方正黑体_GBK" w:eastAsia="方正黑体_GBK"/>
          <w:sz w:val="32"/>
          <w:szCs w:val="32"/>
        </w:rPr>
      </w:pPr>
      <w:bookmarkStart w:id="152" w:name="_Toc197669691"/>
      <w:bookmarkStart w:id="153" w:name="_Toc194395232"/>
      <w:bookmarkStart w:id="154" w:name="_Toc210837112"/>
      <w:r>
        <w:rPr>
          <w:rFonts w:hint="eastAsia" w:ascii="方正黑体_GBK" w:eastAsia="方正黑体_GBK"/>
          <w:sz w:val="32"/>
          <w:szCs w:val="32"/>
        </w:rPr>
        <w:t>5  后期处置</w:t>
      </w:r>
      <w:bookmarkEnd w:id="152"/>
      <w:bookmarkEnd w:id="153"/>
      <w:bookmarkEnd w:id="154"/>
    </w:p>
    <w:p w14:paraId="5B51A14C">
      <w:pPr>
        <w:spacing w:line="300" w:lineRule="auto"/>
        <w:ind w:firstLine="640" w:firstLineChars="200"/>
        <w:rPr>
          <w:rFonts w:hint="eastAsia" w:eastAsia="方正仿宋_GBK"/>
          <w:sz w:val="32"/>
          <w:szCs w:val="32"/>
        </w:rPr>
      </w:pPr>
      <w:bookmarkStart w:id="155" w:name="_Toc194395233"/>
      <w:bookmarkStart w:id="156" w:name="_Toc210837113"/>
      <w:bookmarkStart w:id="157" w:name="_Toc197669692"/>
      <w:r>
        <w:rPr>
          <w:rFonts w:hint="eastAsia" w:eastAsia="方正仿宋_GBK"/>
          <w:sz w:val="32"/>
          <w:szCs w:val="32"/>
        </w:rPr>
        <w:t>5.1  善后处置</w:t>
      </w:r>
      <w:bookmarkEnd w:id="155"/>
      <w:bookmarkEnd w:id="156"/>
      <w:bookmarkEnd w:id="157"/>
    </w:p>
    <w:p w14:paraId="2805F823">
      <w:pPr>
        <w:spacing w:line="300" w:lineRule="auto"/>
        <w:ind w:firstLine="640" w:firstLineChars="200"/>
        <w:rPr>
          <w:rFonts w:hint="eastAsia" w:eastAsia="方正仿宋_GBK"/>
          <w:sz w:val="32"/>
          <w:szCs w:val="32"/>
        </w:rPr>
      </w:pPr>
      <w:r>
        <w:rPr>
          <w:rFonts w:hint="eastAsia" w:eastAsia="方正仿宋_GBK"/>
          <w:sz w:val="32"/>
          <w:szCs w:val="32"/>
        </w:rPr>
        <w:t>善后处置工作以事发地所在区政府为主，善后处置组根据突发事件情况，协助制定救助、补偿、抚慰、安置等善后方案，对突发事件中的伤亡人员、应急处置工作人员，以及紧急调集、征用有关单位及个人的物资，按照规定给予抚慰、补助或补偿，必要时由市政府及其有关部门负责。</w:t>
      </w:r>
    </w:p>
    <w:p w14:paraId="01E81CE0">
      <w:pPr>
        <w:spacing w:line="300" w:lineRule="auto"/>
        <w:ind w:firstLine="640" w:firstLineChars="200"/>
        <w:rPr>
          <w:rFonts w:hint="eastAsia" w:eastAsia="方正仿宋_GBK"/>
          <w:sz w:val="32"/>
          <w:szCs w:val="32"/>
        </w:rPr>
      </w:pPr>
      <w:r>
        <w:rPr>
          <w:rFonts w:hint="eastAsia" w:eastAsia="方正仿宋_GBK"/>
          <w:sz w:val="32"/>
          <w:szCs w:val="32"/>
        </w:rPr>
        <w:t>生态环境部门指导开展环境污染消除工作，组织环境质量监测。</w:t>
      </w:r>
    </w:p>
    <w:p w14:paraId="1DB4A798">
      <w:pPr>
        <w:spacing w:line="300" w:lineRule="auto"/>
        <w:ind w:firstLine="640" w:firstLineChars="200"/>
        <w:rPr>
          <w:rFonts w:hint="eastAsia" w:eastAsia="方正仿宋_GBK"/>
          <w:sz w:val="32"/>
          <w:szCs w:val="32"/>
        </w:rPr>
      </w:pPr>
      <w:r>
        <w:rPr>
          <w:rFonts w:hint="eastAsia" w:eastAsia="方正仿宋_GBK"/>
          <w:sz w:val="32"/>
          <w:szCs w:val="32"/>
        </w:rPr>
        <w:t>事发地保险监管机构组织、督促有关保险机构及时开展查勘和理赔工作。事故责任单位应依法承担赔偿责任。</w:t>
      </w:r>
    </w:p>
    <w:p w14:paraId="42D7083C">
      <w:pPr>
        <w:spacing w:line="300" w:lineRule="auto"/>
        <w:ind w:firstLine="640" w:firstLineChars="200"/>
        <w:rPr>
          <w:rFonts w:hint="eastAsia" w:eastAsia="方正仿宋_GBK"/>
          <w:sz w:val="32"/>
          <w:szCs w:val="32"/>
        </w:rPr>
      </w:pPr>
      <w:bookmarkStart w:id="158" w:name="_Toc194395236"/>
      <w:bookmarkStart w:id="159" w:name="_Toc197669695"/>
      <w:bookmarkStart w:id="160" w:name="_Toc210837114"/>
      <w:r>
        <w:rPr>
          <w:rFonts w:hint="eastAsia" w:eastAsia="方正仿宋_GBK"/>
          <w:sz w:val="32"/>
          <w:szCs w:val="32"/>
        </w:rPr>
        <w:t>5.2</w:t>
      </w:r>
      <w:bookmarkEnd w:id="158"/>
      <w:bookmarkEnd w:id="159"/>
      <w:r>
        <w:rPr>
          <w:rFonts w:hint="eastAsia" w:eastAsia="方正仿宋_GBK"/>
          <w:sz w:val="32"/>
          <w:szCs w:val="32"/>
        </w:rPr>
        <w:t xml:space="preserve">  调查与评估</w:t>
      </w:r>
      <w:bookmarkEnd w:id="160"/>
    </w:p>
    <w:p w14:paraId="2EA23C33">
      <w:pPr>
        <w:spacing w:line="300" w:lineRule="auto"/>
        <w:ind w:firstLine="640" w:firstLineChars="200"/>
        <w:rPr>
          <w:rFonts w:hint="eastAsia" w:eastAsia="方正仿宋_GBK"/>
          <w:sz w:val="32"/>
          <w:szCs w:val="32"/>
        </w:rPr>
      </w:pPr>
      <w:bookmarkStart w:id="161" w:name="_Toc197669697"/>
      <w:bookmarkStart w:id="162" w:name="_Toc194395238"/>
      <w:r>
        <w:rPr>
          <w:rFonts w:hint="eastAsia" w:eastAsia="方正仿宋_GBK"/>
          <w:sz w:val="32"/>
          <w:szCs w:val="32"/>
        </w:rPr>
        <w:t>突发事件应急状态解除后，由调查处理组完成突发事件和应急处置调查评估工作。查明事件原因、性质、人员伤亡、影响范围、经济损失等情况，评估预警机制、响应流程、处置措施、资源调配、部门协同等方面的有效性，提出防范、整改措施和改进建议，形成书面报告报应急指挥部及上级主管部门。</w:t>
      </w:r>
    </w:p>
    <w:p w14:paraId="5A467C7B">
      <w:pPr>
        <w:spacing w:line="300" w:lineRule="auto"/>
        <w:ind w:firstLine="640" w:firstLineChars="200"/>
        <w:rPr>
          <w:rFonts w:hint="eastAsia" w:ascii="方正黑体_GBK" w:eastAsia="方正黑体_GBK"/>
          <w:sz w:val="32"/>
          <w:szCs w:val="32"/>
        </w:rPr>
      </w:pPr>
      <w:bookmarkStart w:id="163" w:name="_Toc210837115"/>
      <w:r>
        <w:rPr>
          <w:rFonts w:hint="eastAsia" w:ascii="方正黑体_GBK" w:eastAsia="方正黑体_GBK"/>
          <w:sz w:val="32"/>
          <w:szCs w:val="32"/>
        </w:rPr>
        <w:t>6  应急保障</w:t>
      </w:r>
      <w:bookmarkEnd w:id="161"/>
      <w:bookmarkEnd w:id="162"/>
      <w:bookmarkEnd w:id="163"/>
    </w:p>
    <w:p w14:paraId="764CF0C4">
      <w:pPr>
        <w:spacing w:line="300" w:lineRule="auto"/>
        <w:ind w:firstLine="640" w:firstLineChars="200"/>
        <w:rPr>
          <w:rFonts w:hint="eastAsia" w:eastAsia="方正仿宋_GBK"/>
          <w:sz w:val="32"/>
          <w:szCs w:val="32"/>
        </w:rPr>
      </w:pPr>
      <w:bookmarkStart w:id="164" w:name="_Toc197669699"/>
      <w:bookmarkStart w:id="165" w:name="_Toc210837116"/>
      <w:bookmarkStart w:id="166" w:name="_Toc194395240"/>
      <w:r>
        <w:rPr>
          <w:rFonts w:hint="eastAsia" w:eastAsia="方正仿宋_GBK"/>
          <w:sz w:val="32"/>
          <w:szCs w:val="32"/>
        </w:rPr>
        <w:t>6.1  队伍保障</w:t>
      </w:r>
      <w:bookmarkEnd w:id="164"/>
      <w:bookmarkEnd w:id="165"/>
      <w:bookmarkEnd w:id="166"/>
    </w:p>
    <w:p w14:paraId="0414B65F">
      <w:pPr>
        <w:spacing w:line="300" w:lineRule="auto"/>
        <w:ind w:firstLine="640" w:firstLineChars="200"/>
        <w:rPr>
          <w:rFonts w:hint="eastAsia" w:eastAsia="方正仿宋_GBK"/>
          <w:sz w:val="32"/>
          <w:szCs w:val="32"/>
        </w:rPr>
      </w:pPr>
      <w:r>
        <w:rPr>
          <w:rFonts w:hint="eastAsia" w:eastAsia="方正仿宋_GBK"/>
          <w:sz w:val="32"/>
          <w:szCs w:val="32"/>
        </w:rPr>
        <w:t>地铁运营单位应建立健全新街口地铁站地下空间突发事件专（兼）职应急救援队伍，加强人员疏散引导、现场秩序维护和应急响应能力培训，定期开展应急演练，提高应急救援能力。</w:t>
      </w:r>
    </w:p>
    <w:p w14:paraId="209C2656">
      <w:pPr>
        <w:spacing w:line="300" w:lineRule="auto"/>
        <w:ind w:firstLine="640" w:firstLineChars="200"/>
        <w:rPr>
          <w:rFonts w:hint="eastAsia" w:eastAsia="方正仿宋_GBK"/>
          <w:sz w:val="32"/>
          <w:szCs w:val="32"/>
        </w:rPr>
      </w:pPr>
      <w:r>
        <w:rPr>
          <w:rFonts w:hint="eastAsia" w:eastAsia="方正仿宋_GBK"/>
          <w:sz w:val="32"/>
          <w:szCs w:val="32"/>
        </w:rPr>
        <w:t>公安、消防、交通、水务、卫健等部门依据职能分工和实际需要，在应急管理部门的统筹指导下，建设和管理本行业、本领域的专业应急救援队伍，提高人员素质，加强装备建设。</w:t>
      </w:r>
    </w:p>
    <w:p w14:paraId="34A20A96">
      <w:pPr>
        <w:spacing w:line="300" w:lineRule="auto"/>
        <w:ind w:firstLine="640" w:firstLineChars="200"/>
        <w:rPr>
          <w:rFonts w:hint="eastAsia" w:eastAsia="方正仿宋_GBK"/>
          <w:sz w:val="32"/>
          <w:szCs w:val="32"/>
        </w:rPr>
      </w:pPr>
      <w:r>
        <w:rPr>
          <w:rFonts w:hint="eastAsia" w:eastAsia="方正仿宋_GBK"/>
          <w:sz w:val="32"/>
          <w:szCs w:val="32"/>
        </w:rPr>
        <w:t>社会应急队伍是应急救援的辅助力量，应急管理部门应健全社会力量动员机制，充分发挥企事业单位、红十字会、共青团和志愿者队伍等社会力量的作用，有序参与突发事件的应急救援工作。</w:t>
      </w:r>
    </w:p>
    <w:p w14:paraId="3BBAD561">
      <w:pPr>
        <w:spacing w:line="300" w:lineRule="auto"/>
        <w:ind w:firstLine="640" w:firstLineChars="200"/>
        <w:rPr>
          <w:rFonts w:hint="eastAsia" w:eastAsia="方正仿宋_GBK"/>
          <w:sz w:val="32"/>
          <w:szCs w:val="32"/>
        </w:rPr>
      </w:pPr>
      <w:bookmarkStart w:id="167" w:name="_Toc197669700"/>
      <w:bookmarkStart w:id="168" w:name="_Toc210837117"/>
      <w:bookmarkStart w:id="169" w:name="_Toc194395241"/>
      <w:r>
        <w:rPr>
          <w:rFonts w:hint="eastAsia" w:eastAsia="方正仿宋_GBK"/>
          <w:sz w:val="32"/>
          <w:szCs w:val="32"/>
        </w:rPr>
        <w:t>6.2  物资保障</w:t>
      </w:r>
      <w:bookmarkEnd w:id="167"/>
      <w:bookmarkEnd w:id="168"/>
      <w:bookmarkEnd w:id="169"/>
    </w:p>
    <w:p w14:paraId="2E09CECA">
      <w:pPr>
        <w:spacing w:line="300" w:lineRule="auto"/>
        <w:ind w:firstLine="640" w:firstLineChars="200"/>
        <w:rPr>
          <w:rFonts w:hint="eastAsia" w:eastAsia="方正仿宋_GBK"/>
          <w:sz w:val="32"/>
          <w:szCs w:val="32"/>
        </w:rPr>
      </w:pPr>
      <w:r>
        <w:rPr>
          <w:rFonts w:hint="eastAsia" w:eastAsia="方正仿宋_GBK"/>
          <w:sz w:val="32"/>
          <w:szCs w:val="32"/>
        </w:rPr>
        <w:t>地铁运营单位应配备必要的应急物资与装备，合理设置应急装备储备点，加强应急装备的管理、维护和保养。</w:t>
      </w:r>
    </w:p>
    <w:p w14:paraId="72D12D92">
      <w:pPr>
        <w:spacing w:line="300" w:lineRule="auto"/>
        <w:ind w:firstLine="640" w:firstLineChars="200"/>
        <w:rPr>
          <w:rFonts w:hint="eastAsia" w:eastAsia="方正仿宋_GBK"/>
          <w:sz w:val="32"/>
          <w:szCs w:val="32"/>
        </w:rPr>
      </w:pPr>
      <w:r>
        <w:rPr>
          <w:rFonts w:hint="eastAsia" w:eastAsia="方正仿宋_GBK"/>
          <w:sz w:val="32"/>
          <w:szCs w:val="32"/>
        </w:rPr>
        <w:t>各有关单位按照职能分工，加强相关类别应急物资和装备储备，完善应急物资管理协调机制。</w:t>
      </w:r>
    </w:p>
    <w:p w14:paraId="21002E65">
      <w:pPr>
        <w:spacing w:line="300" w:lineRule="auto"/>
        <w:ind w:firstLine="640" w:firstLineChars="200"/>
        <w:rPr>
          <w:rFonts w:hint="eastAsia" w:eastAsia="方正仿宋_GBK"/>
          <w:sz w:val="32"/>
          <w:szCs w:val="32"/>
        </w:rPr>
      </w:pPr>
      <w:bookmarkStart w:id="170" w:name="_Toc194395239"/>
      <w:bookmarkStart w:id="171" w:name="_Toc197669698"/>
      <w:bookmarkStart w:id="172" w:name="_Toc210837118"/>
      <w:r>
        <w:rPr>
          <w:rFonts w:hint="eastAsia" w:eastAsia="方正仿宋_GBK"/>
          <w:sz w:val="32"/>
          <w:szCs w:val="32"/>
        </w:rPr>
        <w:t>6.3  通信保障</w:t>
      </w:r>
      <w:bookmarkEnd w:id="170"/>
      <w:bookmarkEnd w:id="171"/>
      <w:bookmarkEnd w:id="172"/>
    </w:p>
    <w:p w14:paraId="3CA735B9">
      <w:pPr>
        <w:spacing w:line="300" w:lineRule="auto"/>
        <w:ind w:firstLine="640" w:firstLineChars="200"/>
        <w:rPr>
          <w:rFonts w:hint="eastAsia" w:eastAsia="方正仿宋_GBK"/>
          <w:sz w:val="32"/>
          <w:szCs w:val="32"/>
        </w:rPr>
      </w:pPr>
      <w:r>
        <w:rPr>
          <w:rFonts w:hint="eastAsia" w:eastAsia="方正仿宋_GBK"/>
          <w:sz w:val="32"/>
          <w:szCs w:val="32"/>
        </w:rPr>
        <w:t>南京通信行业管理办公室在突发事件导致现场公众通信网络受阻时，负责组织协调</w:t>
      </w:r>
      <w:bookmarkStart w:id="173" w:name="OLE_LINK15"/>
      <w:r>
        <w:rPr>
          <w:rFonts w:hint="eastAsia" w:eastAsia="方正仿宋_GBK"/>
          <w:sz w:val="32"/>
          <w:szCs w:val="32"/>
        </w:rPr>
        <w:t>电信、移动、联通、铁塔公司</w:t>
      </w:r>
      <w:bookmarkEnd w:id="173"/>
      <w:r>
        <w:rPr>
          <w:rFonts w:hint="eastAsia" w:eastAsia="方正仿宋_GBK"/>
          <w:sz w:val="32"/>
          <w:szCs w:val="32"/>
        </w:rPr>
        <w:t>提供应急通信保障，保障现场通信畅通，并在确保安全的前提下做好相关受损通信设施的恢复工作。</w:t>
      </w:r>
    </w:p>
    <w:p w14:paraId="1F5BD278">
      <w:pPr>
        <w:spacing w:line="300" w:lineRule="auto"/>
        <w:ind w:firstLine="640" w:firstLineChars="200"/>
        <w:rPr>
          <w:rFonts w:hint="eastAsia" w:eastAsia="方正仿宋_GBK"/>
          <w:sz w:val="32"/>
          <w:szCs w:val="32"/>
        </w:rPr>
      </w:pPr>
      <w:r>
        <w:rPr>
          <w:rFonts w:hint="eastAsia" w:eastAsia="方正仿宋_GBK"/>
          <w:sz w:val="32"/>
          <w:szCs w:val="32"/>
        </w:rPr>
        <w:t>本预案应急指挥人员使用的应急通信设备，除手机由持有人自行负责维护外，其余设备（办公电话、防爆对讲机）由应急指挥部各成员单位负责配备、维修、日常维护和保管，保证其随时有效投入使用。</w:t>
      </w:r>
    </w:p>
    <w:p w14:paraId="0A8470E7">
      <w:pPr>
        <w:spacing w:line="300" w:lineRule="auto"/>
        <w:ind w:firstLine="640" w:firstLineChars="200"/>
        <w:rPr>
          <w:rFonts w:hint="eastAsia" w:eastAsia="方正仿宋_GBK"/>
          <w:sz w:val="32"/>
          <w:szCs w:val="32"/>
        </w:rPr>
      </w:pPr>
      <w:r>
        <w:rPr>
          <w:rFonts w:hint="eastAsia" w:eastAsia="方正仿宋_GBK"/>
          <w:sz w:val="32"/>
          <w:szCs w:val="32"/>
        </w:rPr>
        <w:t>地铁运营单位要加强地铁运行监测、指挥调度系统等专用通信网络建设，确保专用通信网络畅通。</w:t>
      </w:r>
    </w:p>
    <w:p w14:paraId="3D8A6D86">
      <w:pPr>
        <w:spacing w:line="300" w:lineRule="auto"/>
        <w:ind w:firstLine="640" w:firstLineChars="200"/>
        <w:rPr>
          <w:rFonts w:hint="eastAsia" w:eastAsia="方正仿宋_GBK"/>
          <w:sz w:val="32"/>
          <w:szCs w:val="32"/>
        </w:rPr>
      </w:pPr>
      <w:bookmarkStart w:id="174" w:name="_Toc197669702"/>
      <w:bookmarkStart w:id="175" w:name="_Toc210837119"/>
      <w:bookmarkStart w:id="176" w:name="_Toc194395243"/>
      <w:r>
        <w:rPr>
          <w:rFonts w:hint="eastAsia" w:eastAsia="方正仿宋_GBK"/>
          <w:sz w:val="32"/>
          <w:szCs w:val="32"/>
        </w:rPr>
        <w:t>6.4  运输保障</w:t>
      </w:r>
      <w:bookmarkEnd w:id="174"/>
      <w:bookmarkEnd w:id="175"/>
      <w:bookmarkEnd w:id="176"/>
    </w:p>
    <w:p w14:paraId="2A0DB25D">
      <w:pPr>
        <w:spacing w:line="300" w:lineRule="auto"/>
        <w:ind w:firstLine="640" w:firstLineChars="200"/>
        <w:rPr>
          <w:rFonts w:hint="eastAsia" w:eastAsia="方正仿宋_GBK"/>
          <w:sz w:val="32"/>
          <w:szCs w:val="32"/>
        </w:rPr>
      </w:pPr>
      <w:r>
        <w:rPr>
          <w:rFonts w:hint="eastAsia" w:eastAsia="方正仿宋_GBK"/>
          <w:sz w:val="32"/>
          <w:szCs w:val="32"/>
        </w:rPr>
        <w:t>交通、公安等部门要统筹各类交通工具通行管理，健全运力调用调配和应急绿色通道机制，保证救援物资输送、人员转移安全，必要时实施交通管制和公交接驳，确保应急救援工作顺利进行。</w:t>
      </w:r>
    </w:p>
    <w:p w14:paraId="7BAC59EF">
      <w:pPr>
        <w:spacing w:line="300" w:lineRule="auto"/>
        <w:ind w:firstLine="640" w:firstLineChars="200"/>
        <w:rPr>
          <w:rFonts w:hint="eastAsia" w:eastAsia="方正仿宋_GBK"/>
          <w:sz w:val="32"/>
          <w:szCs w:val="32"/>
        </w:rPr>
      </w:pPr>
      <w:bookmarkStart w:id="177" w:name="_Toc210837120"/>
      <w:bookmarkStart w:id="178" w:name="OLE_LINK10"/>
      <w:r>
        <w:rPr>
          <w:rFonts w:hint="eastAsia" w:eastAsia="方正仿宋_GBK"/>
          <w:sz w:val="32"/>
          <w:szCs w:val="32"/>
        </w:rPr>
        <w:t>6.5  治安保障</w:t>
      </w:r>
      <w:bookmarkEnd w:id="177"/>
    </w:p>
    <w:p w14:paraId="5D110E3B">
      <w:pPr>
        <w:spacing w:line="300" w:lineRule="auto"/>
        <w:ind w:firstLine="640" w:firstLineChars="200"/>
        <w:rPr>
          <w:rFonts w:hint="eastAsia" w:eastAsia="方正仿宋_GBK"/>
          <w:sz w:val="32"/>
          <w:szCs w:val="32"/>
        </w:rPr>
      </w:pPr>
      <w:r>
        <w:rPr>
          <w:rFonts w:hint="eastAsia" w:eastAsia="方正仿宋_GBK"/>
          <w:sz w:val="32"/>
          <w:szCs w:val="32"/>
        </w:rPr>
        <w:t>公安部门做好突发事件应急处置期间的社会治安工作，依法严厉打击阻扰应急救援和破坏设施设备的行为，必要时依法采取有效管制措施，维护地下空间的社会治安秩序。</w:t>
      </w:r>
    </w:p>
    <w:p w14:paraId="4F61DCC3">
      <w:pPr>
        <w:spacing w:line="300" w:lineRule="auto"/>
        <w:ind w:firstLine="640" w:firstLineChars="200"/>
        <w:rPr>
          <w:rFonts w:hint="eastAsia" w:eastAsia="方正仿宋_GBK"/>
          <w:sz w:val="32"/>
          <w:szCs w:val="32"/>
        </w:rPr>
      </w:pPr>
      <w:r>
        <w:rPr>
          <w:rFonts w:hint="eastAsia" w:eastAsia="方正仿宋_GBK"/>
          <w:sz w:val="32"/>
          <w:szCs w:val="32"/>
        </w:rPr>
        <w:t>事发地所在区政府予以协助和配合，积极发动组织群众，开展群防联防，协助公安部门实施治安保卫工作，严惩趁火打劫和制造事端等犯罪行为。</w:t>
      </w:r>
    </w:p>
    <w:p w14:paraId="35192A57">
      <w:pPr>
        <w:spacing w:line="300" w:lineRule="auto"/>
        <w:ind w:firstLine="640" w:firstLineChars="200"/>
        <w:rPr>
          <w:rFonts w:hint="eastAsia" w:eastAsia="方正仿宋_GBK"/>
          <w:sz w:val="32"/>
          <w:szCs w:val="32"/>
        </w:rPr>
      </w:pPr>
      <w:bookmarkStart w:id="179" w:name="_Toc210837121"/>
      <w:r>
        <w:rPr>
          <w:rFonts w:hint="eastAsia" w:eastAsia="方正仿宋_GBK"/>
          <w:sz w:val="32"/>
          <w:szCs w:val="32"/>
        </w:rPr>
        <w:t>6.6  舆论保障</w:t>
      </w:r>
      <w:bookmarkEnd w:id="179"/>
    </w:p>
    <w:p w14:paraId="13481BC7">
      <w:pPr>
        <w:spacing w:line="300" w:lineRule="auto"/>
        <w:ind w:firstLine="640" w:firstLineChars="200"/>
        <w:rPr>
          <w:rFonts w:hint="eastAsia" w:eastAsia="方正仿宋_GBK"/>
          <w:sz w:val="32"/>
          <w:szCs w:val="32"/>
        </w:rPr>
      </w:pPr>
      <w:r>
        <w:rPr>
          <w:rFonts w:hint="eastAsia" w:eastAsia="方正仿宋_GBK"/>
          <w:sz w:val="32"/>
          <w:szCs w:val="32"/>
        </w:rPr>
        <w:t>市委网络安全和信息化委员会办公室负责统筹协调指导相关单位做好网络舆情监测、研判及应对处置，落实相关预案要求。</w:t>
      </w:r>
    </w:p>
    <w:bookmarkEnd w:id="178"/>
    <w:p w14:paraId="672DE4A9">
      <w:pPr>
        <w:spacing w:line="300" w:lineRule="auto"/>
        <w:ind w:firstLine="640" w:firstLineChars="200"/>
        <w:rPr>
          <w:rFonts w:hint="eastAsia" w:eastAsia="方正仿宋_GBK"/>
          <w:sz w:val="32"/>
          <w:szCs w:val="32"/>
        </w:rPr>
      </w:pPr>
      <w:bookmarkStart w:id="180" w:name="_Toc210837122"/>
      <w:r>
        <w:rPr>
          <w:rFonts w:hint="eastAsia" w:eastAsia="方正仿宋_GBK"/>
          <w:sz w:val="32"/>
          <w:szCs w:val="32"/>
        </w:rPr>
        <w:t>6.7  医疗保障</w:t>
      </w:r>
      <w:bookmarkEnd w:id="180"/>
    </w:p>
    <w:p w14:paraId="2EB09218">
      <w:pPr>
        <w:spacing w:line="300" w:lineRule="auto"/>
        <w:ind w:firstLine="640" w:firstLineChars="200"/>
        <w:rPr>
          <w:rFonts w:hint="eastAsia" w:eastAsia="方正仿宋_GBK"/>
          <w:sz w:val="32"/>
          <w:szCs w:val="32"/>
        </w:rPr>
      </w:pPr>
      <w:r>
        <w:rPr>
          <w:rFonts w:hint="eastAsia" w:eastAsia="方正仿宋_GBK"/>
          <w:sz w:val="32"/>
          <w:szCs w:val="32"/>
        </w:rPr>
        <w:t>卫健部门负责应急处置期间伤员的医疗救治及突发公共卫生事件监测、报告工作，配备相应的医疗救治药物、器械、设备和人员，提高医疗卫生机构对事故伤员的救治能力。</w:t>
      </w:r>
    </w:p>
    <w:p w14:paraId="7323FA11">
      <w:pPr>
        <w:spacing w:line="300" w:lineRule="auto"/>
        <w:ind w:firstLine="640" w:firstLineChars="200"/>
        <w:rPr>
          <w:rFonts w:hint="eastAsia" w:eastAsia="方正仿宋_GBK"/>
          <w:sz w:val="32"/>
          <w:szCs w:val="32"/>
        </w:rPr>
      </w:pPr>
      <w:bookmarkStart w:id="181" w:name="_Toc210837123"/>
      <w:r>
        <w:rPr>
          <w:rFonts w:hint="eastAsia" w:eastAsia="方正仿宋_GBK"/>
          <w:sz w:val="32"/>
          <w:szCs w:val="32"/>
        </w:rPr>
        <w:t>6.8  电力保障</w:t>
      </w:r>
      <w:bookmarkEnd w:id="181"/>
    </w:p>
    <w:p w14:paraId="5F5BA702">
      <w:pPr>
        <w:spacing w:line="300" w:lineRule="auto"/>
        <w:ind w:firstLine="640" w:firstLineChars="200"/>
        <w:rPr>
          <w:rFonts w:hint="eastAsia" w:eastAsia="方正仿宋_GBK"/>
          <w:sz w:val="32"/>
          <w:szCs w:val="32"/>
        </w:rPr>
      </w:pPr>
      <w:r>
        <w:rPr>
          <w:rFonts w:hint="eastAsia" w:eastAsia="方正仿宋_GBK"/>
          <w:sz w:val="32"/>
          <w:szCs w:val="32"/>
        </w:rPr>
        <w:t>供电部门做好地铁空间火灾、排涝抢险、设备抢修等突发事件时的供电调度，及时修复导致地铁停运的外部输电故障，做好排涝等抢险救灾现场临时供电保障工作。</w:t>
      </w:r>
    </w:p>
    <w:p w14:paraId="1DFAE90A">
      <w:pPr>
        <w:spacing w:line="300" w:lineRule="auto"/>
        <w:ind w:firstLine="640" w:firstLineChars="200"/>
        <w:rPr>
          <w:rFonts w:hint="eastAsia" w:eastAsia="方正仿宋_GBK"/>
          <w:sz w:val="32"/>
          <w:szCs w:val="32"/>
        </w:rPr>
      </w:pPr>
      <w:bookmarkStart w:id="182" w:name="_Toc197669704"/>
      <w:bookmarkStart w:id="183" w:name="_Toc210837124"/>
      <w:bookmarkStart w:id="184" w:name="_Toc194395245"/>
      <w:r>
        <w:rPr>
          <w:rFonts w:hint="eastAsia" w:eastAsia="方正仿宋_GBK"/>
          <w:sz w:val="32"/>
          <w:szCs w:val="32"/>
        </w:rPr>
        <w:t>6.9  资金保障</w:t>
      </w:r>
      <w:bookmarkEnd w:id="182"/>
      <w:bookmarkEnd w:id="183"/>
      <w:bookmarkEnd w:id="184"/>
    </w:p>
    <w:p w14:paraId="060771DA">
      <w:pPr>
        <w:spacing w:line="300" w:lineRule="auto"/>
        <w:ind w:firstLine="640" w:firstLineChars="200"/>
        <w:rPr>
          <w:rFonts w:hint="eastAsia" w:eastAsia="方正仿宋_GBK"/>
          <w:sz w:val="32"/>
          <w:szCs w:val="32"/>
        </w:rPr>
      </w:pPr>
      <w:r>
        <w:rPr>
          <w:rFonts w:hint="eastAsia" w:eastAsia="方正仿宋_GBK"/>
          <w:sz w:val="32"/>
          <w:szCs w:val="32"/>
        </w:rPr>
        <w:t>市、区常备应急物资经费分别由同级财政承担，各级政府应将常备应急物资相关经费纳入财政预算。</w:t>
      </w:r>
    </w:p>
    <w:p w14:paraId="1CEF512A">
      <w:pPr>
        <w:spacing w:line="300" w:lineRule="auto"/>
        <w:ind w:firstLine="640" w:firstLineChars="200"/>
        <w:rPr>
          <w:rFonts w:hint="eastAsia" w:eastAsia="方正仿宋_GBK"/>
          <w:sz w:val="32"/>
          <w:szCs w:val="32"/>
        </w:rPr>
      </w:pPr>
      <w:r>
        <w:rPr>
          <w:rFonts w:hint="eastAsia" w:eastAsia="方正仿宋_GBK"/>
          <w:sz w:val="32"/>
          <w:szCs w:val="32"/>
        </w:rPr>
        <w:t>企业常备物资经费由企业自筹经费解决，强化应急物资保障和人员培训工作。</w:t>
      </w:r>
    </w:p>
    <w:p w14:paraId="2A1509C7">
      <w:pPr>
        <w:spacing w:line="300" w:lineRule="auto"/>
        <w:ind w:firstLine="640" w:firstLineChars="200"/>
        <w:rPr>
          <w:rFonts w:hint="eastAsia" w:ascii="方正黑体_GBK" w:eastAsia="方正黑体_GBK"/>
          <w:sz w:val="32"/>
          <w:szCs w:val="32"/>
        </w:rPr>
      </w:pPr>
      <w:bookmarkStart w:id="185" w:name="_Toc41029387"/>
      <w:bookmarkStart w:id="186" w:name="_Toc501022148"/>
      <w:bookmarkStart w:id="187" w:name="_Toc210837125"/>
      <w:r>
        <w:rPr>
          <w:rFonts w:hint="eastAsia" w:ascii="方正黑体_GBK" w:eastAsia="方正黑体_GBK"/>
          <w:sz w:val="32"/>
          <w:szCs w:val="32"/>
        </w:rPr>
        <w:t>7  宣传、培训与演练</w:t>
      </w:r>
      <w:bookmarkEnd w:id="185"/>
      <w:bookmarkEnd w:id="186"/>
      <w:bookmarkEnd w:id="187"/>
    </w:p>
    <w:p w14:paraId="46562E26">
      <w:pPr>
        <w:spacing w:line="300" w:lineRule="auto"/>
        <w:ind w:firstLine="640" w:firstLineChars="200"/>
        <w:rPr>
          <w:rFonts w:hint="eastAsia" w:eastAsia="方正仿宋_GBK"/>
          <w:sz w:val="32"/>
          <w:szCs w:val="32"/>
        </w:rPr>
      </w:pPr>
      <w:bookmarkStart w:id="188" w:name="_Toc194395554"/>
      <w:bookmarkStart w:id="189" w:name="_Toc210837126"/>
      <w:bookmarkStart w:id="190" w:name="_Toc194395247"/>
      <w:bookmarkStart w:id="191" w:name="_Toc197669706"/>
      <w:r>
        <w:rPr>
          <w:rFonts w:hint="eastAsia" w:eastAsia="方正仿宋_GBK"/>
          <w:sz w:val="32"/>
          <w:szCs w:val="32"/>
        </w:rPr>
        <w:t>7.1  宣传</w:t>
      </w:r>
      <w:bookmarkEnd w:id="188"/>
      <w:bookmarkEnd w:id="189"/>
      <w:bookmarkEnd w:id="190"/>
      <w:bookmarkEnd w:id="191"/>
    </w:p>
    <w:p w14:paraId="7450AB37">
      <w:pPr>
        <w:spacing w:line="300" w:lineRule="auto"/>
        <w:ind w:firstLine="640" w:firstLineChars="200"/>
        <w:rPr>
          <w:rFonts w:hint="eastAsia" w:eastAsia="方正仿宋_GBK"/>
          <w:sz w:val="32"/>
          <w:szCs w:val="32"/>
        </w:rPr>
      </w:pPr>
      <w:r>
        <w:rPr>
          <w:rFonts w:hint="eastAsia" w:eastAsia="方正仿宋_GBK"/>
          <w:sz w:val="32"/>
          <w:szCs w:val="32"/>
        </w:rPr>
        <w:t>相关区政府和有关部门要充分利用报纸、广播、电视、新媒体平台（如微信公众号、短视频平台）等渠道，结合“5</w:t>
      </w:r>
      <w:r>
        <w:rPr>
          <w:rFonts w:hint="eastAsia" w:eastAsia="方正仿宋_GBK" w:cs="MS Gothic"/>
          <w:sz w:val="32"/>
          <w:szCs w:val="32"/>
        </w:rPr>
        <w:t>・</w:t>
      </w:r>
      <w:r>
        <w:rPr>
          <w:rFonts w:hint="eastAsia" w:eastAsia="方正仿宋_GBK"/>
          <w:sz w:val="32"/>
          <w:szCs w:val="32"/>
        </w:rPr>
        <w:t>12防灾减灾日”“安全生产月”等主题活动，广泛宣传地下空间突发事件预防、避险、自救互救知识，不断提高公众的防灾救灾意识和自救互救能力。</w:t>
      </w:r>
    </w:p>
    <w:p w14:paraId="1F368AC6">
      <w:pPr>
        <w:spacing w:line="300" w:lineRule="auto"/>
        <w:ind w:firstLine="640" w:firstLineChars="200"/>
        <w:rPr>
          <w:rFonts w:hint="eastAsia" w:eastAsia="方正仿宋_GBK"/>
          <w:sz w:val="32"/>
          <w:szCs w:val="32"/>
        </w:rPr>
      </w:pPr>
      <w:r>
        <w:rPr>
          <w:rFonts w:hint="eastAsia" w:eastAsia="方正仿宋_GBK"/>
          <w:sz w:val="32"/>
          <w:szCs w:val="32"/>
        </w:rPr>
        <w:t>地铁运营单位应根据情况制定地铁运营安全乘车、突发事件应急等宣传资料，通过广播、告示牌等方式向公众宣传、普及应急救援的基本概念与知识。</w:t>
      </w:r>
    </w:p>
    <w:p w14:paraId="25F03C00">
      <w:pPr>
        <w:spacing w:line="300" w:lineRule="auto"/>
        <w:ind w:firstLine="640" w:firstLineChars="200"/>
        <w:rPr>
          <w:rFonts w:hint="eastAsia" w:eastAsia="方正仿宋_GBK"/>
          <w:sz w:val="32"/>
          <w:szCs w:val="32"/>
        </w:rPr>
      </w:pPr>
      <w:bookmarkStart w:id="192" w:name="_Toc210837127"/>
      <w:bookmarkStart w:id="193" w:name="_Toc194395555"/>
      <w:bookmarkStart w:id="194" w:name="_Toc194395248"/>
      <w:bookmarkStart w:id="195" w:name="_Toc197669707"/>
      <w:r>
        <w:rPr>
          <w:rFonts w:hint="eastAsia" w:eastAsia="方正仿宋_GBK"/>
          <w:sz w:val="32"/>
          <w:szCs w:val="32"/>
        </w:rPr>
        <w:t>7.2  培训</w:t>
      </w:r>
      <w:bookmarkEnd w:id="192"/>
      <w:bookmarkEnd w:id="193"/>
      <w:bookmarkEnd w:id="194"/>
      <w:bookmarkEnd w:id="195"/>
    </w:p>
    <w:p w14:paraId="38FC8429">
      <w:pPr>
        <w:spacing w:line="300" w:lineRule="auto"/>
        <w:ind w:firstLine="640" w:firstLineChars="200"/>
        <w:rPr>
          <w:rFonts w:hint="eastAsia" w:eastAsia="方正仿宋_GBK"/>
          <w:sz w:val="32"/>
          <w:szCs w:val="32"/>
        </w:rPr>
      </w:pPr>
      <w:r>
        <w:rPr>
          <w:rFonts w:hint="eastAsia" w:eastAsia="方正仿宋_GBK"/>
          <w:sz w:val="32"/>
          <w:szCs w:val="32"/>
        </w:rPr>
        <w:t>按照分级负责的原则，各应急救援单位采取“课堂+实践”“线上+线下”“走出去+请进来”等相结合的方式开展新街口地铁站地下空间突发事件应急技能培训，保持应急队伍具备熟练正确开展应急响应行动的能力。</w:t>
      </w:r>
    </w:p>
    <w:p w14:paraId="290853A6">
      <w:pPr>
        <w:spacing w:line="300" w:lineRule="auto"/>
        <w:ind w:firstLine="640" w:firstLineChars="200"/>
        <w:rPr>
          <w:rFonts w:hint="eastAsia" w:eastAsia="方正仿宋_GBK"/>
          <w:sz w:val="32"/>
          <w:szCs w:val="32"/>
        </w:rPr>
      </w:pPr>
      <w:r>
        <w:rPr>
          <w:rFonts w:hint="eastAsia" w:eastAsia="方正仿宋_GBK"/>
          <w:sz w:val="32"/>
          <w:szCs w:val="32"/>
        </w:rPr>
        <w:t>地铁运营单位及周边其他相关生产经营单位应将应急教育培训工作纳入日常管理工作，制定应急培训计划，定期对从业人员进行应急教育和培训，保证从业人员具备必要的应急知识，掌握风险防范技能和事故应急措施。</w:t>
      </w:r>
    </w:p>
    <w:p w14:paraId="39468CF3">
      <w:pPr>
        <w:spacing w:line="300" w:lineRule="auto"/>
        <w:ind w:firstLine="640" w:firstLineChars="200"/>
        <w:rPr>
          <w:rFonts w:hint="eastAsia" w:eastAsia="方正仿宋_GBK"/>
          <w:sz w:val="32"/>
          <w:szCs w:val="32"/>
        </w:rPr>
      </w:pPr>
      <w:bookmarkStart w:id="196" w:name="_Toc210837128"/>
      <w:r>
        <w:rPr>
          <w:rFonts w:hint="eastAsia" w:eastAsia="方正仿宋_GBK"/>
          <w:sz w:val="32"/>
          <w:szCs w:val="32"/>
        </w:rPr>
        <w:t>7.3  演练</w:t>
      </w:r>
      <w:bookmarkEnd w:id="196"/>
    </w:p>
    <w:p w14:paraId="5DD1BD42">
      <w:pPr>
        <w:spacing w:line="300" w:lineRule="auto"/>
        <w:ind w:firstLine="640" w:firstLineChars="200"/>
        <w:rPr>
          <w:rFonts w:hint="eastAsia" w:eastAsia="方正仿宋_GBK"/>
          <w:sz w:val="32"/>
          <w:szCs w:val="32"/>
        </w:rPr>
      </w:pPr>
      <w:r>
        <w:rPr>
          <w:rFonts w:hint="eastAsia" w:eastAsia="方正仿宋_GBK"/>
          <w:sz w:val="32"/>
          <w:szCs w:val="32"/>
        </w:rPr>
        <w:t>地铁运营单位及周边其他相关生产经营单位可采用实战演练和桌面演练等方式，在不影响人员活动、行车安全的前提下，定期开展应急演练工作，加强重点单位、重点部位和重点基础设施等工作人员的能力训练，培养一批训练有素的专门人才。</w:t>
      </w:r>
    </w:p>
    <w:p w14:paraId="628094FA">
      <w:pPr>
        <w:spacing w:line="300" w:lineRule="auto"/>
        <w:ind w:firstLine="640" w:firstLineChars="200"/>
        <w:rPr>
          <w:rFonts w:hint="eastAsia" w:eastAsia="方正仿宋_GBK"/>
          <w:sz w:val="32"/>
          <w:szCs w:val="32"/>
        </w:rPr>
      </w:pPr>
      <w:r>
        <w:rPr>
          <w:rFonts w:hint="eastAsia" w:eastAsia="方正仿宋_GBK"/>
          <w:sz w:val="32"/>
          <w:szCs w:val="32"/>
        </w:rPr>
        <w:t>市公安局、市交通运输局、市卫生健康委员会、市应急管理局、市市场监督管理局视情组织相关联动单位，开展跨部门综合应急演练，提高各联动单位和生产经营单位的实战应对能力。</w:t>
      </w:r>
    </w:p>
    <w:p w14:paraId="0E65FBA7">
      <w:pPr>
        <w:spacing w:line="300" w:lineRule="auto"/>
        <w:ind w:firstLine="640" w:firstLineChars="200"/>
        <w:rPr>
          <w:rFonts w:hint="eastAsia" w:ascii="方正黑体_GBK" w:eastAsia="方正黑体_GBK"/>
          <w:sz w:val="32"/>
          <w:szCs w:val="32"/>
        </w:rPr>
      </w:pPr>
      <w:bookmarkStart w:id="197" w:name="_Toc194395250"/>
      <w:bookmarkStart w:id="198" w:name="_Toc197669709"/>
      <w:bookmarkStart w:id="199" w:name="_Toc210837129"/>
      <w:r>
        <w:rPr>
          <w:rFonts w:hint="eastAsia" w:ascii="方正黑体_GBK" w:eastAsia="方正黑体_GBK"/>
          <w:sz w:val="32"/>
          <w:szCs w:val="32"/>
        </w:rPr>
        <w:t>8  附则</w:t>
      </w:r>
      <w:bookmarkEnd w:id="197"/>
      <w:bookmarkEnd w:id="198"/>
      <w:bookmarkEnd w:id="199"/>
    </w:p>
    <w:p w14:paraId="1C2C2707">
      <w:pPr>
        <w:spacing w:line="300" w:lineRule="auto"/>
        <w:ind w:firstLine="640" w:firstLineChars="200"/>
        <w:rPr>
          <w:rFonts w:hint="eastAsia" w:eastAsia="方正仿宋_GBK"/>
          <w:sz w:val="32"/>
          <w:szCs w:val="32"/>
        </w:rPr>
      </w:pPr>
      <w:bookmarkStart w:id="200" w:name="_Toc197669710"/>
      <w:bookmarkStart w:id="201" w:name="_Toc210837130"/>
      <w:bookmarkStart w:id="202" w:name="_Toc194395251"/>
      <w:r>
        <w:rPr>
          <w:rFonts w:hint="eastAsia" w:eastAsia="方正仿宋_GBK"/>
          <w:sz w:val="32"/>
          <w:szCs w:val="32"/>
        </w:rPr>
        <w:t>8.1  预案管理</w:t>
      </w:r>
      <w:bookmarkEnd w:id="200"/>
      <w:bookmarkEnd w:id="201"/>
      <w:bookmarkEnd w:id="202"/>
    </w:p>
    <w:p w14:paraId="6CE790E1">
      <w:pPr>
        <w:spacing w:line="300" w:lineRule="auto"/>
        <w:ind w:firstLine="640" w:firstLineChars="200"/>
        <w:rPr>
          <w:rFonts w:hint="eastAsia" w:eastAsia="方正仿宋_GBK"/>
          <w:sz w:val="32"/>
          <w:szCs w:val="32"/>
        </w:rPr>
      </w:pPr>
      <w:r>
        <w:rPr>
          <w:rFonts w:hint="eastAsia" w:eastAsia="方正仿宋_GBK"/>
          <w:sz w:val="32"/>
          <w:szCs w:val="32"/>
        </w:rPr>
        <w:t>本预案由市交通运输局牵头负责制定，经市应急管理局衔接协调后，报市政府批准后发布实施。</w:t>
      </w:r>
    </w:p>
    <w:p w14:paraId="7FE0B7CD">
      <w:pPr>
        <w:spacing w:line="300" w:lineRule="auto"/>
        <w:ind w:firstLine="640" w:firstLineChars="200"/>
        <w:rPr>
          <w:rFonts w:hint="eastAsia" w:eastAsia="方正仿宋_GBK"/>
          <w:sz w:val="32"/>
          <w:szCs w:val="32"/>
        </w:rPr>
      </w:pPr>
      <w:r>
        <w:rPr>
          <w:rFonts w:hint="eastAsia" w:eastAsia="方正仿宋_GBK"/>
          <w:sz w:val="32"/>
          <w:szCs w:val="32"/>
        </w:rPr>
        <w:t>新街口地铁站地下空间所在区政府及市相关管理部门应依据相关法律法规的规定和本预案的要求，制定本辖区、本部门应对新街口地铁站地下空间突发事件应急预案，或在现有预案中明确新街口地铁站地下空间突发事件应急处置内容，相关预案抄送或向市交通运输局、市应急管理局备案。</w:t>
      </w:r>
    </w:p>
    <w:p w14:paraId="4CD99B1D">
      <w:pPr>
        <w:spacing w:line="300" w:lineRule="auto"/>
        <w:ind w:firstLine="640" w:firstLineChars="200"/>
        <w:rPr>
          <w:rFonts w:hint="eastAsia" w:eastAsia="方正仿宋_GBK"/>
          <w:sz w:val="32"/>
          <w:szCs w:val="32"/>
        </w:rPr>
      </w:pPr>
      <w:bookmarkStart w:id="203" w:name="_Toc210837131"/>
      <w:r>
        <w:rPr>
          <w:rFonts w:hint="eastAsia" w:eastAsia="方正仿宋_GBK"/>
          <w:sz w:val="32"/>
          <w:szCs w:val="32"/>
        </w:rPr>
        <w:t>8.2  预案更新</w:t>
      </w:r>
      <w:bookmarkEnd w:id="203"/>
    </w:p>
    <w:p w14:paraId="2B324C78">
      <w:pPr>
        <w:spacing w:line="300" w:lineRule="auto"/>
        <w:ind w:firstLine="640" w:firstLineChars="200"/>
        <w:rPr>
          <w:rFonts w:hint="eastAsia" w:eastAsia="方正仿宋_GBK"/>
          <w:sz w:val="32"/>
          <w:szCs w:val="32"/>
        </w:rPr>
      </w:pPr>
      <w:r>
        <w:rPr>
          <w:rFonts w:hint="eastAsia" w:eastAsia="方正仿宋_GBK"/>
          <w:sz w:val="32"/>
          <w:szCs w:val="32"/>
        </w:rPr>
        <w:t>本预案原则上每3年评估一次，并根据有关法律法规的制定和修订情况，结合突发事件应急救援实际情况和预案的适用情况，由市交通运输局牵头，及时进行修订，当本预案出现以下情况时，应适时修订：</w:t>
      </w:r>
    </w:p>
    <w:p w14:paraId="61B03582">
      <w:pPr>
        <w:spacing w:line="300" w:lineRule="auto"/>
        <w:ind w:firstLine="640" w:firstLineChars="200"/>
        <w:rPr>
          <w:rFonts w:hint="eastAsia" w:eastAsia="方正仿宋_GBK"/>
          <w:sz w:val="32"/>
          <w:szCs w:val="32"/>
        </w:rPr>
      </w:pPr>
      <w:r>
        <w:rPr>
          <w:rFonts w:hint="eastAsia" w:eastAsia="方正仿宋_GBK"/>
          <w:sz w:val="32"/>
          <w:szCs w:val="32"/>
        </w:rPr>
        <w:t>（1）有关法律、行政法规、规章、标准、上位预案中的有关规定发生重大变化的；</w:t>
      </w:r>
    </w:p>
    <w:p w14:paraId="614929EE">
      <w:pPr>
        <w:spacing w:line="300" w:lineRule="auto"/>
        <w:ind w:firstLine="640" w:firstLineChars="200"/>
        <w:rPr>
          <w:rFonts w:hint="eastAsia" w:eastAsia="方正仿宋_GBK"/>
          <w:sz w:val="32"/>
          <w:szCs w:val="32"/>
        </w:rPr>
      </w:pPr>
      <w:r>
        <w:rPr>
          <w:rFonts w:hint="eastAsia" w:eastAsia="方正仿宋_GBK"/>
          <w:sz w:val="32"/>
          <w:szCs w:val="32"/>
        </w:rPr>
        <w:t>（2）应急指挥机构及其职责发生调整的；</w:t>
      </w:r>
    </w:p>
    <w:p w14:paraId="6CEF8A35">
      <w:pPr>
        <w:spacing w:line="300" w:lineRule="auto"/>
        <w:ind w:firstLine="640" w:firstLineChars="200"/>
        <w:rPr>
          <w:rFonts w:hint="eastAsia" w:eastAsia="方正仿宋_GBK"/>
          <w:sz w:val="32"/>
          <w:szCs w:val="32"/>
        </w:rPr>
      </w:pPr>
      <w:r>
        <w:rPr>
          <w:rFonts w:hint="eastAsia" w:eastAsia="方正仿宋_GBK"/>
          <w:sz w:val="32"/>
          <w:szCs w:val="32"/>
        </w:rPr>
        <w:t>（3）面临的风险发生重大变化的；</w:t>
      </w:r>
    </w:p>
    <w:p w14:paraId="1F4C5EA7">
      <w:pPr>
        <w:spacing w:line="300" w:lineRule="auto"/>
        <w:ind w:firstLine="640" w:firstLineChars="200"/>
        <w:rPr>
          <w:rFonts w:hint="eastAsia" w:eastAsia="方正仿宋_GBK"/>
          <w:sz w:val="32"/>
          <w:szCs w:val="32"/>
        </w:rPr>
      </w:pPr>
      <w:r>
        <w:rPr>
          <w:rFonts w:hint="eastAsia" w:eastAsia="方正仿宋_GBK"/>
          <w:sz w:val="32"/>
          <w:szCs w:val="32"/>
        </w:rPr>
        <w:t>（4）重要应急资源发生重大变化的；</w:t>
      </w:r>
    </w:p>
    <w:p w14:paraId="70C5F408">
      <w:pPr>
        <w:spacing w:line="300" w:lineRule="auto"/>
        <w:ind w:firstLine="640" w:firstLineChars="200"/>
        <w:rPr>
          <w:rFonts w:hint="eastAsia" w:eastAsia="方正仿宋_GBK"/>
          <w:sz w:val="32"/>
          <w:szCs w:val="32"/>
        </w:rPr>
      </w:pPr>
      <w:r>
        <w:rPr>
          <w:rFonts w:hint="eastAsia" w:eastAsia="方正仿宋_GBK"/>
          <w:sz w:val="32"/>
          <w:szCs w:val="32"/>
        </w:rPr>
        <w:t>（5）在突发事件实际应对和应急演练中发现问题需要作出重大调整的；</w:t>
      </w:r>
    </w:p>
    <w:p w14:paraId="053A5C19">
      <w:pPr>
        <w:spacing w:line="300" w:lineRule="auto"/>
        <w:ind w:firstLine="640" w:firstLineChars="200"/>
        <w:rPr>
          <w:rFonts w:hint="eastAsia" w:eastAsia="方正仿宋_GBK"/>
          <w:sz w:val="32"/>
          <w:szCs w:val="32"/>
        </w:rPr>
      </w:pPr>
      <w:r>
        <w:rPr>
          <w:rFonts w:hint="eastAsia" w:eastAsia="方正仿宋_GBK"/>
          <w:sz w:val="32"/>
          <w:szCs w:val="32"/>
        </w:rPr>
        <w:t>（6）应急预案制定单位认为应当修订的其他情况。</w:t>
      </w:r>
    </w:p>
    <w:p w14:paraId="420E8ED0">
      <w:pPr>
        <w:spacing w:line="300" w:lineRule="auto"/>
        <w:ind w:firstLine="640" w:firstLineChars="200"/>
        <w:rPr>
          <w:rFonts w:hint="eastAsia" w:eastAsia="方正仿宋_GBK"/>
          <w:sz w:val="32"/>
          <w:szCs w:val="32"/>
        </w:rPr>
      </w:pPr>
      <w:bookmarkStart w:id="204" w:name="_Toc197669711"/>
      <w:bookmarkStart w:id="205" w:name="_Toc194395252"/>
      <w:bookmarkStart w:id="206" w:name="_Toc210837132"/>
      <w:r>
        <w:rPr>
          <w:rFonts w:hint="eastAsia" w:eastAsia="方正仿宋_GBK"/>
          <w:sz w:val="32"/>
          <w:szCs w:val="32"/>
        </w:rPr>
        <w:t>8.3  预案解释</w:t>
      </w:r>
      <w:bookmarkEnd w:id="204"/>
      <w:bookmarkEnd w:id="205"/>
      <w:bookmarkEnd w:id="206"/>
    </w:p>
    <w:p w14:paraId="0C46CF1D">
      <w:pPr>
        <w:spacing w:line="300" w:lineRule="auto"/>
        <w:ind w:firstLine="640" w:firstLineChars="200"/>
        <w:rPr>
          <w:rFonts w:hint="eastAsia" w:eastAsia="方正仿宋_GBK"/>
          <w:sz w:val="32"/>
          <w:szCs w:val="32"/>
        </w:rPr>
      </w:pPr>
      <w:r>
        <w:rPr>
          <w:rFonts w:hint="eastAsia" w:eastAsia="方正仿宋_GBK"/>
          <w:sz w:val="32"/>
          <w:szCs w:val="32"/>
        </w:rPr>
        <w:t>本预案由市交通运输局具体承担解释工作。</w:t>
      </w:r>
    </w:p>
    <w:p w14:paraId="08B712AB">
      <w:pPr>
        <w:spacing w:line="300" w:lineRule="auto"/>
        <w:ind w:firstLine="640" w:firstLineChars="200"/>
        <w:rPr>
          <w:rFonts w:hint="eastAsia" w:eastAsia="方正仿宋_GBK"/>
          <w:sz w:val="32"/>
          <w:szCs w:val="32"/>
        </w:rPr>
      </w:pPr>
      <w:bookmarkStart w:id="207" w:name="_Toc210837133"/>
      <w:bookmarkStart w:id="208" w:name="_Toc194395253"/>
      <w:bookmarkStart w:id="209" w:name="_Toc197669712"/>
      <w:r>
        <w:rPr>
          <w:rFonts w:hint="eastAsia" w:eastAsia="方正仿宋_GBK"/>
          <w:sz w:val="32"/>
          <w:szCs w:val="32"/>
        </w:rPr>
        <w:t>8.4  实施时间</w:t>
      </w:r>
      <w:bookmarkEnd w:id="207"/>
      <w:bookmarkEnd w:id="208"/>
      <w:bookmarkEnd w:id="209"/>
    </w:p>
    <w:p w14:paraId="748AC057">
      <w:pPr>
        <w:spacing w:line="300" w:lineRule="auto"/>
        <w:ind w:firstLine="640" w:firstLineChars="200"/>
        <w:rPr>
          <w:rFonts w:hint="eastAsia" w:eastAsia="方正仿宋_GBK"/>
          <w:sz w:val="32"/>
          <w:szCs w:val="32"/>
        </w:rPr>
        <w:sectPr>
          <w:footerReference r:id="rId3" w:type="default"/>
          <w:footerReference r:id="rId4" w:type="even"/>
          <w:pgSz w:w="11906" w:h="16838"/>
          <w:pgMar w:top="2098" w:right="1588" w:bottom="1701" w:left="1588" w:header="851" w:footer="1247" w:gutter="0"/>
          <w:cols w:space="720" w:num="1"/>
          <w:docGrid w:linePitch="435" w:charSpace="0"/>
        </w:sectPr>
      </w:pPr>
      <w:r>
        <w:rPr>
          <w:rFonts w:hint="eastAsia" w:eastAsia="方正仿宋_GBK"/>
          <w:sz w:val="32"/>
          <w:szCs w:val="32"/>
        </w:rPr>
        <w:t>本预案自印发之日起实施。</w:t>
      </w:r>
      <w:bookmarkStart w:id="210" w:name="_Toc194395254"/>
      <w:bookmarkStart w:id="211" w:name="_Toc197669713"/>
      <w:bookmarkStart w:id="212" w:name="_Toc210837134"/>
    </w:p>
    <w:p w14:paraId="6074E6B7">
      <w:pPr>
        <w:spacing w:line="300" w:lineRule="auto"/>
        <w:ind w:firstLine="640" w:firstLineChars="200"/>
        <w:rPr>
          <w:rFonts w:hint="eastAsia" w:ascii="方正黑体_GBK" w:eastAsia="方正黑体_GBK"/>
          <w:sz w:val="32"/>
          <w:szCs w:val="32"/>
        </w:rPr>
      </w:pPr>
      <w:r>
        <w:rPr>
          <w:rFonts w:hint="eastAsia" w:ascii="方正黑体_GBK" w:eastAsia="方正黑体_GBK"/>
          <w:sz w:val="32"/>
          <w:szCs w:val="32"/>
        </w:rPr>
        <w:t>9  附件</w:t>
      </w:r>
    </w:p>
    <w:bookmarkEnd w:id="210"/>
    <w:p w14:paraId="248CDDF5">
      <w:pPr>
        <w:spacing w:line="300" w:lineRule="auto"/>
        <w:ind w:firstLine="640" w:firstLineChars="200"/>
        <w:rPr>
          <w:rFonts w:hint="eastAsia" w:eastAsia="方正仿宋_GBK"/>
          <w:sz w:val="32"/>
          <w:szCs w:val="32"/>
        </w:rPr>
      </w:pPr>
      <w:r>
        <w:rPr>
          <w:rFonts w:hint="eastAsia" w:eastAsia="方正仿宋_GBK"/>
          <w:sz w:val="32"/>
          <w:szCs w:val="32"/>
        </w:rPr>
        <w:t>9.1  新街口地铁站地下空间突发事件应急管理组织架构</w:t>
      </w:r>
      <w:bookmarkEnd w:id="211"/>
      <w:bookmarkEnd w:id="212"/>
    </w:p>
    <w:p w14:paraId="4BED1400">
      <w:pPr>
        <w:spacing w:line="300" w:lineRule="auto"/>
        <w:ind w:firstLine="640" w:firstLineChars="200"/>
        <w:rPr>
          <w:rFonts w:hint="eastAsia" w:eastAsia="方正仿宋_GBK"/>
          <w:sz w:val="32"/>
          <w:szCs w:val="32"/>
        </w:rPr>
      </w:pPr>
      <w:r>
        <w:rPr>
          <w:rFonts w:hint="eastAsia" w:eastAsia="方正仿宋_GBK"/>
          <w:sz w:val="32"/>
          <w:szCs w:val="32"/>
        </w:rPr>
        <w:pict>
          <v:shape id="Object 46" o:spid="_x0000_s1029" o:spt="75" type="#_x0000_t75" style="position:absolute;left:0pt;margin-left:2.8pt;margin-top:11.7pt;height:332.55pt;width:687.95pt;z-index:251661312;mso-width-relative:page;mso-height-relative:page;" o:ole="t" filled="f" o:preferrelative="t" stroked="f" coordsize="21600,21600">
            <v:path/>
            <v:fill on="f" alignshape="1" focussize="0,0"/>
            <v:stroke on="f"/>
            <v:imagedata r:id="rId13" o:title=""/>
            <o:lock v:ext="edit" aspectratio="t"/>
          </v:shape>
          <o:OLEObject Type="Embed" ProgID="" ShapeID="Object 46" DrawAspect="Content" ObjectID="_1468075725" r:id="rId12">
            <o:LockedField>false</o:LockedField>
          </o:OLEObject>
        </w:pict>
      </w:r>
    </w:p>
    <w:p w14:paraId="0DF92A3C">
      <w:pPr>
        <w:spacing w:line="300" w:lineRule="auto"/>
        <w:ind w:firstLine="640" w:firstLineChars="200"/>
        <w:rPr>
          <w:rFonts w:hint="eastAsia" w:eastAsia="方正仿宋_GBK"/>
          <w:sz w:val="32"/>
          <w:szCs w:val="32"/>
        </w:rPr>
      </w:pPr>
    </w:p>
    <w:p w14:paraId="42EACE47">
      <w:pPr>
        <w:spacing w:line="300" w:lineRule="auto"/>
        <w:ind w:firstLine="640" w:firstLineChars="200"/>
        <w:rPr>
          <w:rFonts w:hint="eastAsia" w:eastAsia="方正仿宋_GBK"/>
          <w:sz w:val="32"/>
          <w:szCs w:val="32"/>
        </w:rPr>
      </w:pPr>
    </w:p>
    <w:p w14:paraId="350482D6">
      <w:pPr>
        <w:spacing w:line="300" w:lineRule="auto"/>
        <w:ind w:firstLine="640" w:firstLineChars="200"/>
        <w:rPr>
          <w:rFonts w:hint="eastAsia" w:eastAsia="方正仿宋_GBK"/>
          <w:sz w:val="32"/>
          <w:szCs w:val="32"/>
        </w:rPr>
      </w:pPr>
    </w:p>
    <w:p w14:paraId="42D82535">
      <w:pPr>
        <w:spacing w:line="300" w:lineRule="auto"/>
        <w:ind w:firstLine="640" w:firstLineChars="200"/>
        <w:rPr>
          <w:rFonts w:hint="eastAsia" w:eastAsia="方正仿宋_GBK"/>
          <w:sz w:val="32"/>
          <w:szCs w:val="32"/>
        </w:rPr>
      </w:pPr>
    </w:p>
    <w:p w14:paraId="286A87A0">
      <w:pPr>
        <w:spacing w:line="300" w:lineRule="auto"/>
        <w:ind w:firstLine="640" w:firstLineChars="200"/>
        <w:rPr>
          <w:rFonts w:hint="eastAsia" w:eastAsia="方正仿宋_GBK"/>
          <w:sz w:val="32"/>
          <w:szCs w:val="32"/>
        </w:rPr>
      </w:pPr>
    </w:p>
    <w:p w14:paraId="06569FBC">
      <w:pPr>
        <w:spacing w:line="300" w:lineRule="auto"/>
        <w:ind w:firstLine="640" w:firstLineChars="200"/>
        <w:rPr>
          <w:rFonts w:hint="eastAsia" w:eastAsia="方正仿宋_GBK"/>
          <w:sz w:val="32"/>
          <w:szCs w:val="32"/>
        </w:rPr>
      </w:pPr>
    </w:p>
    <w:p w14:paraId="42549D21">
      <w:pPr>
        <w:spacing w:line="300" w:lineRule="auto"/>
        <w:ind w:firstLine="640" w:firstLineChars="200"/>
        <w:rPr>
          <w:rFonts w:hint="eastAsia" w:eastAsia="方正仿宋_GBK"/>
          <w:sz w:val="32"/>
          <w:szCs w:val="32"/>
        </w:rPr>
      </w:pPr>
    </w:p>
    <w:p w14:paraId="01B8058B">
      <w:pPr>
        <w:spacing w:line="300" w:lineRule="auto"/>
        <w:ind w:firstLine="640" w:firstLineChars="200"/>
        <w:rPr>
          <w:rFonts w:hint="eastAsia" w:eastAsia="方正仿宋_GBK"/>
          <w:sz w:val="32"/>
          <w:szCs w:val="32"/>
        </w:rPr>
      </w:pPr>
    </w:p>
    <w:p w14:paraId="67B6D2CE">
      <w:pPr>
        <w:spacing w:line="300" w:lineRule="auto"/>
        <w:ind w:firstLine="640" w:firstLineChars="200"/>
        <w:rPr>
          <w:rFonts w:hint="eastAsia" w:eastAsia="方正仿宋_GBK"/>
          <w:sz w:val="32"/>
          <w:szCs w:val="32"/>
        </w:rPr>
      </w:pPr>
    </w:p>
    <w:p w14:paraId="40890401">
      <w:pPr>
        <w:spacing w:line="300" w:lineRule="auto"/>
        <w:ind w:firstLine="640" w:firstLineChars="200"/>
        <w:rPr>
          <w:rFonts w:hint="eastAsia" w:eastAsia="方正仿宋_GBK"/>
          <w:sz w:val="32"/>
          <w:szCs w:val="32"/>
        </w:rPr>
      </w:pPr>
    </w:p>
    <w:p w14:paraId="6C2211B3">
      <w:pPr>
        <w:spacing w:line="300" w:lineRule="auto"/>
        <w:ind w:firstLine="640" w:firstLineChars="200"/>
        <w:rPr>
          <w:rFonts w:hint="eastAsia" w:eastAsia="方正仿宋_GBK"/>
          <w:sz w:val="32"/>
          <w:szCs w:val="32"/>
        </w:rPr>
      </w:pPr>
    </w:p>
    <w:p w14:paraId="6D1128D5">
      <w:pPr>
        <w:spacing w:line="300" w:lineRule="auto"/>
        <w:ind w:firstLine="640" w:firstLineChars="200"/>
        <w:rPr>
          <w:rFonts w:hint="eastAsia" w:eastAsia="方正仿宋_GBK"/>
          <w:sz w:val="32"/>
          <w:szCs w:val="32"/>
        </w:rPr>
      </w:pPr>
    </w:p>
    <w:p w14:paraId="2AC1D495">
      <w:pPr>
        <w:spacing w:line="300" w:lineRule="auto"/>
        <w:ind w:firstLine="640" w:firstLineChars="200"/>
        <w:rPr>
          <w:rFonts w:hint="eastAsia" w:eastAsia="方正仿宋_GBK"/>
          <w:sz w:val="32"/>
          <w:szCs w:val="32"/>
        </w:rPr>
      </w:pPr>
    </w:p>
    <w:p w14:paraId="57FF8462">
      <w:pPr>
        <w:spacing w:line="300" w:lineRule="auto"/>
        <w:ind w:firstLine="640" w:firstLineChars="200"/>
        <w:rPr>
          <w:rFonts w:hint="eastAsia" w:eastAsia="方正仿宋_GBK"/>
          <w:sz w:val="32"/>
          <w:szCs w:val="32"/>
        </w:rPr>
      </w:pPr>
    </w:p>
    <w:p w14:paraId="2DF7DA49">
      <w:pPr>
        <w:spacing w:line="300" w:lineRule="auto"/>
        <w:ind w:firstLine="640" w:firstLineChars="200"/>
        <w:rPr>
          <w:rFonts w:hint="eastAsia" w:eastAsia="方正仿宋_GBK"/>
          <w:sz w:val="32"/>
          <w:szCs w:val="32"/>
        </w:rPr>
      </w:pPr>
    </w:p>
    <w:p w14:paraId="0ED848CB">
      <w:pPr>
        <w:spacing w:line="300" w:lineRule="auto"/>
        <w:ind w:firstLine="640" w:firstLineChars="200"/>
        <w:rPr>
          <w:rFonts w:hint="eastAsia" w:eastAsia="方正仿宋_GBK"/>
          <w:sz w:val="32"/>
          <w:szCs w:val="32"/>
        </w:rPr>
        <w:sectPr>
          <w:footerReference r:id="rId5" w:type="even"/>
          <w:pgSz w:w="16838" w:h="11906" w:orient="landscape"/>
          <w:pgMar w:top="1588" w:right="1418" w:bottom="1418" w:left="1418" w:header="851" w:footer="907" w:gutter="0"/>
          <w:cols w:space="720" w:num="1"/>
          <w:docGrid w:linePitch="437" w:charSpace="0"/>
        </w:sectPr>
      </w:pPr>
    </w:p>
    <w:p w14:paraId="18AF992E">
      <w:pPr>
        <w:spacing w:line="300" w:lineRule="auto"/>
        <w:ind w:firstLine="640" w:firstLineChars="200"/>
        <w:rPr>
          <w:rFonts w:hint="eastAsia" w:eastAsia="方正仿宋_GBK"/>
          <w:sz w:val="32"/>
          <w:szCs w:val="32"/>
        </w:rPr>
      </w:pPr>
      <w:r>
        <w:rPr>
          <w:rFonts w:eastAsia="方正仿宋_GBK"/>
          <w:sz w:val="32"/>
          <w:szCs w:val="32"/>
        </w:rPr>
        <w:pict>
          <v:shape id="Object 30" o:spid="_x0000_s1030" o:spt="75" type="#_x0000_t75" style="position:absolute;left:0pt;margin-left:0pt;margin-top:51pt;height:489.6pt;width:430.95pt;mso-wrap-distance-bottom:0pt;mso-wrap-distance-top:0pt;z-index:251659264;mso-width-relative:page;mso-height-relative:page;" o:ole="t" filled="f" o:preferrelative="t" stroked="f" coordsize="21600,21600">
            <v:path/>
            <v:fill on="f" focussize="0,0"/>
            <v:stroke on="f"/>
            <v:imagedata r:id="rId15" o:title=""/>
            <o:lock v:ext="edit" aspectratio="t"/>
            <w10:wrap type="topAndBottom"/>
          </v:shape>
          <o:OLEObject Type="Embed" ProgID="" ShapeID="Object 30" DrawAspect="Content" ObjectID="_1468075726" r:id="rId14">
            <o:LockedField>false</o:LockedField>
          </o:OLEObject>
        </w:pict>
      </w:r>
      <w:r>
        <w:rPr>
          <w:rFonts w:hint="eastAsia" w:eastAsia="方正仿宋_GBK"/>
          <w:sz w:val="32"/>
          <w:szCs w:val="32"/>
        </w:rPr>
        <w:t>9.2  新街口地铁站地下空间突发事件信息上报流程图</w:t>
      </w:r>
    </w:p>
    <w:p w14:paraId="173DEB64">
      <w:pPr>
        <w:spacing w:line="300" w:lineRule="auto"/>
        <w:ind w:firstLine="640" w:firstLineChars="200"/>
        <w:rPr>
          <w:rFonts w:hint="eastAsia" w:eastAsia="方正仿宋_GBK"/>
          <w:sz w:val="32"/>
          <w:szCs w:val="32"/>
        </w:rPr>
      </w:pPr>
    </w:p>
    <w:p w14:paraId="5460C25F">
      <w:pPr>
        <w:spacing w:line="300" w:lineRule="auto"/>
        <w:ind w:firstLine="640" w:firstLineChars="200"/>
        <w:rPr>
          <w:rFonts w:hint="eastAsia" w:eastAsia="方正仿宋_GBK"/>
          <w:sz w:val="32"/>
          <w:szCs w:val="32"/>
        </w:rPr>
      </w:pPr>
      <w:r>
        <w:rPr>
          <w:rFonts w:eastAsia="方正仿宋_GBK"/>
          <w:sz w:val="32"/>
          <w:szCs w:val="32"/>
        </w:rPr>
        <w:br w:type="page"/>
      </w:r>
      <w:r>
        <w:rPr>
          <w:rFonts w:eastAsia="方正仿宋_GBK"/>
          <w:sz w:val="32"/>
          <w:szCs w:val="32"/>
        </w:rPr>
        <w:pict>
          <v:shape id="Object 31" o:spid="_x0000_s1031" o:spt="75" type="#_x0000_t75" style="position:absolute;left:0pt;margin-left:7.5pt;margin-top:46.6pt;height:545pt;width:416.35pt;mso-wrap-distance-bottom:0pt;mso-wrap-distance-top:0pt;z-index:251660288;mso-width-relative:page;mso-height-relative:page;" o:ole="t" filled="f" o:preferrelative="t" stroked="f" coordsize="21600,21600">
            <v:path/>
            <v:fill on="f" focussize="0,0"/>
            <v:stroke on="f"/>
            <v:imagedata r:id="rId17" o:title=""/>
            <o:lock v:ext="edit" aspectratio="t"/>
            <w10:wrap type="topAndBottom"/>
          </v:shape>
          <o:OLEObject Type="Embed" ProgID="" ShapeID="Object 31" DrawAspect="Content" ObjectID="_1468075727" r:id="rId16">
            <o:LockedField>false</o:LockedField>
          </o:OLEObject>
        </w:pict>
      </w:r>
      <w:r>
        <w:rPr>
          <w:rFonts w:hint="eastAsia" w:eastAsia="方正仿宋_GBK"/>
          <w:sz w:val="32"/>
          <w:szCs w:val="32"/>
        </w:rPr>
        <w:t>9.3  新街口地铁站地下空间突发事件应急响应流程图</w:t>
      </w:r>
    </w:p>
    <w:p w14:paraId="03179AF4">
      <w:pPr>
        <w:spacing w:line="300" w:lineRule="auto"/>
        <w:ind w:firstLine="640" w:firstLineChars="200"/>
        <w:rPr>
          <w:rFonts w:hint="eastAsia" w:eastAsia="方正仿宋_GBK"/>
          <w:sz w:val="32"/>
          <w:szCs w:val="32"/>
        </w:rPr>
      </w:pPr>
    </w:p>
    <w:p w14:paraId="62977CDA">
      <w:pPr>
        <w:spacing w:line="300" w:lineRule="auto"/>
        <w:ind w:firstLine="640" w:firstLineChars="200"/>
        <w:rPr>
          <w:rFonts w:hint="eastAsia" w:eastAsia="方正仿宋_GBK"/>
          <w:sz w:val="32"/>
          <w:szCs w:val="32"/>
        </w:rPr>
        <w:sectPr>
          <w:footerReference r:id="rId6" w:type="default"/>
          <w:footerReference r:id="rId7" w:type="even"/>
          <w:pgSz w:w="11906" w:h="16838"/>
          <w:pgMar w:top="2098" w:right="1588" w:bottom="1701" w:left="1588" w:header="851" w:footer="1247" w:gutter="0"/>
          <w:cols w:space="720" w:num="1"/>
          <w:docGrid w:linePitch="437" w:charSpace="0"/>
        </w:sectPr>
      </w:pPr>
    </w:p>
    <w:p w14:paraId="1ACFFE0F">
      <w:pPr>
        <w:spacing w:line="300" w:lineRule="auto"/>
        <w:ind w:firstLine="640" w:firstLineChars="200"/>
        <w:rPr>
          <w:rFonts w:hint="eastAsia" w:eastAsia="方正仿宋_GBK"/>
          <w:sz w:val="32"/>
          <w:szCs w:val="32"/>
        </w:rPr>
      </w:pPr>
      <w:r>
        <w:rPr>
          <w:rFonts w:hint="eastAsia" w:eastAsia="方正仿宋_GBK"/>
          <w:sz w:val="32"/>
          <w:szCs w:val="32"/>
        </w:rPr>
        <w:t>9.4  新街口地铁站出入口管理及地下空间应急管理区域划分界面</w:t>
      </w:r>
    </w:p>
    <w:p w14:paraId="70EB1307">
      <w:pPr>
        <w:spacing w:line="300" w:lineRule="auto"/>
        <w:rPr>
          <w:rFonts w:hint="eastAsia"/>
        </w:rPr>
      </w:pPr>
      <w:r>
        <w:drawing>
          <wp:inline distT="0" distB="0" distL="114300" distR="114300">
            <wp:extent cx="8855710" cy="2949575"/>
            <wp:effectExtent l="0" t="0" r="2540" b="317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8"/>
                    <a:stretch>
                      <a:fillRect/>
                    </a:stretch>
                  </pic:blipFill>
                  <pic:spPr>
                    <a:xfrm>
                      <a:off x="0" y="0"/>
                      <a:ext cx="8855710" cy="2949575"/>
                    </a:xfrm>
                    <a:prstGeom prst="rect">
                      <a:avLst/>
                    </a:prstGeom>
                    <a:noFill/>
                    <a:ln>
                      <a:noFill/>
                    </a:ln>
                  </pic:spPr>
                </pic:pic>
              </a:graphicData>
            </a:graphic>
          </wp:inline>
        </w:drawing>
      </w:r>
    </w:p>
    <w:p w14:paraId="2ADFFBC4">
      <w:pPr>
        <w:spacing w:line="300" w:lineRule="auto"/>
        <w:ind w:firstLine="640" w:firstLineChars="200"/>
        <w:rPr>
          <w:rFonts w:hint="eastAsia" w:eastAsia="方正仿宋_GBK"/>
          <w:sz w:val="32"/>
          <w:szCs w:val="32"/>
        </w:rPr>
      </w:pPr>
      <w:r>
        <w:rPr>
          <w:rFonts w:hint="eastAsia" w:eastAsia="方正仿宋_GBK"/>
          <w:sz w:val="32"/>
          <w:szCs w:val="32"/>
        </w:rPr>
        <w:t>注：图中蓝色、红色、紫色区域分别对应秦淮区、鼓楼区、玄武区政府在一般等级突发事件应急处置中的管理范围（站厅层、站台层等核心公共区域内一般等级突发事件应急处置由秦淮区政府牵头，玄武区、鼓楼区政府参与），区域划分依据地铁出入口位置及行政区划边界确定，仅用于本预案中突发事件应急管理职责划分参考。</w:t>
      </w:r>
    </w:p>
    <w:p w14:paraId="6929D602">
      <w:pPr>
        <w:spacing w:line="300" w:lineRule="auto"/>
        <w:ind w:firstLine="640" w:firstLineChars="200"/>
        <w:rPr>
          <w:rFonts w:eastAsia="方正仿宋_GBK"/>
          <w:sz w:val="32"/>
          <w:szCs w:val="32"/>
        </w:rPr>
      </w:pPr>
    </w:p>
    <w:p w14:paraId="5F17C83E">
      <w:pPr>
        <w:spacing w:line="300" w:lineRule="auto"/>
        <w:ind w:firstLine="640" w:firstLineChars="200"/>
        <w:rPr>
          <w:rFonts w:eastAsia="方正仿宋_GBK"/>
          <w:sz w:val="32"/>
          <w:szCs w:val="32"/>
        </w:rPr>
      </w:pPr>
    </w:p>
    <w:p w14:paraId="1AF6643C">
      <w:pPr>
        <w:spacing w:line="300" w:lineRule="auto"/>
        <w:rPr>
          <w:rFonts w:eastAsia="方正仿宋_GBK"/>
          <w:sz w:val="32"/>
          <w:szCs w:val="32"/>
        </w:rPr>
      </w:pPr>
      <w:r>
        <w:drawing>
          <wp:inline distT="0" distB="0" distL="114300" distR="114300">
            <wp:extent cx="8861425" cy="2301875"/>
            <wp:effectExtent l="0" t="0" r="15875" b="31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9"/>
                    <a:stretch>
                      <a:fillRect/>
                    </a:stretch>
                  </pic:blipFill>
                  <pic:spPr>
                    <a:xfrm>
                      <a:off x="0" y="0"/>
                      <a:ext cx="8861425" cy="2301875"/>
                    </a:xfrm>
                    <a:prstGeom prst="rect">
                      <a:avLst/>
                    </a:prstGeom>
                    <a:noFill/>
                    <a:ln>
                      <a:noFill/>
                    </a:ln>
                  </pic:spPr>
                </pic:pic>
              </a:graphicData>
            </a:graphic>
          </wp:inline>
        </w:drawing>
      </w:r>
    </w:p>
    <w:p w14:paraId="1683681D">
      <w:pPr>
        <w:spacing w:line="300" w:lineRule="auto"/>
        <w:ind w:firstLine="640" w:firstLineChars="200"/>
        <w:rPr>
          <w:rFonts w:eastAsia="方正仿宋_GBK"/>
          <w:sz w:val="32"/>
          <w:szCs w:val="32"/>
        </w:rPr>
      </w:pPr>
    </w:p>
    <w:p w14:paraId="654CD43A">
      <w:pPr>
        <w:spacing w:line="300" w:lineRule="auto"/>
        <w:rPr>
          <w:rFonts w:eastAsia="方正仿宋_GBK"/>
          <w:sz w:val="32"/>
          <w:szCs w:val="32"/>
        </w:rPr>
      </w:pPr>
      <w:r>
        <w:drawing>
          <wp:inline distT="0" distB="0" distL="114300" distR="114300">
            <wp:extent cx="8956040" cy="2337435"/>
            <wp:effectExtent l="0" t="0" r="16510" b="571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0"/>
                    <a:stretch>
                      <a:fillRect/>
                    </a:stretch>
                  </pic:blipFill>
                  <pic:spPr>
                    <a:xfrm>
                      <a:off x="0" y="0"/>
                      <a:ext cx="8956040" cy="2337435"/>
                    </a:xfrm>
                    <a:prstGeom prst="rect">
                      <a:avLst/>
                    </a:prstGeom>
                    <a:noFill/>
                    <a:ln>
                      <a:noFill/>
                    </a:ln>
                  </pic:spPr>
                </pic:pic>
              </a:graphicData>
            </a:graphic>
          </wp:inline>
        </w:drawing>
      </w:r>
    </w:p>
    <w:p w14:paraId="6C1EABC2">
      <w:pPr>
        <w:spacing w:line="300" w:lineRule="auto"/>
        <w:ind w:firstLine="640" w:firstLineChars="200"/>
        <w:rPr>
          <w:rFonts w:eastAsia="方正仿宋_GBK"/>
          <w:sz w:val="32"/>
          <w:szCs w:val="32"/>
        </w:rPr>
      </w:pPr>
    </w:p>
    <w:p w14:paraId="02DB3950">
      <w:pPr>
        <w:spacing w:line="300" w:lineRule="auto"/>
        <w:ind w:firstLine="640" w:firstLineChars="200"/>
        <w:rPr>
          <w:rFonts w:eastAsia="方正仿宋_GBK"/>
          <w:sz w:val="32"/>
          <w:szCs w:val="32"/>
        </w:rPr>
        <w:sectPr>
          <w:footerReference r:id="rId8" w:type="default"/>
          <w:footerReference r:id="rId9" w:type="even"/>
          <w:pgSz w:w="16838" w:h="11906" w:orient="landscape"/>
          <w:pgMar w:top="1588" w:right="1418" w:bottom="1418" w:left="1418" w:header="851" w:footer="907" w:gutter="0"/>
          <w:cols w:space="720" w:num="1"/>
          <w:docGrid w:linePitch="437" w:charSpace="0"/>
        </w:sectPr>
      </w:pPr>
    </w:p>
    <w:p w14:paraId="0FE8DA99">
      <w:pPr>
        <w:spacing w:line="300" w:lineRule="auto"/>
        <w:jc w:val="center"/>
        <w:rPr>
          <w:rFonts w:hint="eastAsia" w:eastAsia="方正黑体_GBK"/>
          <w:sz w:val="32"/>
          <w:szCs w:val="32"/>
        </w:rPr>
      </w:pPr>
      <w:r>
        <w:rPr>
          <w:rFonts w:hint="eastAsia" w:eastAsia="方正黑体_GBK"/>
          <w:sz w:val="32"/>
          <w:szCs w:val="32"/>
        </w:rPr>
        <w:t>新街口地铁站出入口隶属关系</w:t>
      </w:r>
    </w:p>
    <w:tbl>
      <w:tblPr>
        <w:tblStyle w:val="4"/>
        <w:tblW w:w="9098" w:type="dxa"/>
        <w:jc w:val="center"/>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996"/>
        <w:gridCol w:w="1428"/>
        <w:gridCol w:w="2730"/>
        <w:gridCol w:w="3944"/>
      </w:tblGrid>
      <w:tr w14:paraId="75AB4BA0">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996" w:type="dxa"/>
            <w:noWrap/>
            <w:vAlign w:val="center"/>
          </w:tcPr>
          <w:p w14:paraId="5CCF0EEF">
            <w:pPr>
              <w:jc w:val="center"/>
              <w:rPr>
                <w:rFonts w:eastAsia="方正书宋_GBK"/>
                <w:sz w:val="21"/>
                <w:szCs w:val="21"/>
              </w:rPr>
            </w:pPr>
            <w:r>
              <w:rPr>
                <w:rFonts w:eastAsia="方正书宋_GBK"/>
                <w:sz w:val="21"/>
                <w:szCs w:val="21"/>
              </w:rPr>
              <w:t>编号</w:t>
            </w:r>
          </w:p>
        </w:tc>
        <w:tc>
          <w:tcPr>
            <w:tcW w:w="1428" w:type="dxa"/>
            <w:noWrap/>
            <w:vAlign w:val="center"/>
          </w:tcPr>
          <w:p w14:paraId="5CCDEAD2">
            <w:pPr>
              <w:jc w:val="center"/>
              <w:rPr>
                <w:rFonts w:eastAsia="方正书宋_GBK"/>
                <w:sz w:val="21"/>
                <w:szCs w:val="21"/>
              </w:rPr>
            </w:pPr>
            <w:r>
              <w:rPr>
                <w:rFonts w:eastAsia="方正书宋_GBK"/>
                <w:sz w:val="21"/>
                <w:szCs w:val="21"/>
              </w:rPr>
              <w:t>所属区</w:t>
            </w:r>
          </w:p>
        </w:tc>
        <w:tc>
          <w:tcPr>
            <w:tcW w:w="2730" w:type="dxa"/>
            <w:noWrap/>
            <w:vAlign w:val="center"/>
          </w:tcPr>
          <w:p w14:paraId="59B248F1">
            <w:pPr>
              <w:jc w:val="center"/>
              <w:rPr>
                <w:rFonts w:eastAsia="方正书宋_GBK"/>
                <w:sz w:val="21"/>
                <w:szCs w:val="21"/>
              </w:rPr>
            </w:pPr>
            <w:r>
              <w:rPr>
                <w:rFonts w:eastAsia="方正书宋_GBK"/>
                <w:sz w:val="21"/>
                <w:szCs w:val="21"/>
              </w:rPr>
              <w:t>出入口连接区域</w:t>
            </w:r>
          </w:p>
        </w:tc>
        <w:tc>
          <w:tcPr>
            <w:tcW w:w="3944" w:type="dxa"/>
            <w:noWrap/>
            <w:vAlign w:val="center"/>
          </w:tcPr>
          <w:p w14:paraId="14EDD6A0">
            <w:pPr>
              <w:jc w:val="center"/>
              <w:rPr>
                <w:rFonts w:eastAsia="方正书宋_GBK"/>
                <w:sz w:val="21"/>
                <w:szCs w:val="21"/>
              </w:rPr>
            </w:pPr>
            <w:r>
              <w:rPr>
                <w:rFonts w:eastAsia="方正书宋_GBK"/>
                <w:sz w:val="21"/>
                <w:szCs w:val="21"/>
              </w:rPr>
              <w:t>现场图</w:t>
            </w:r>
          </w:p>
        </w:tc>
      </w:tr>
      <w:tr w14:paraId="3FFEE7B5">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96" w:type="dxa"/>
            <w:noWrap/>
            <w:vAlign w:val="center"/>
          </w:tcPr>
          <w:p w14:paraId="137DB51D">
            <w:pPr>
              <w:jc w:val="center"/>
              <w:rPr>
                <w:rFonts w:eastAsia="方正书宋_GBK"/>
                <w:sz w:val="21"/>
                <w:szCs w:val="21"/>
              </w:rPr>
            </w:pPr>
            <w:r>
              <w:rPr>
                <w:rFonts w:eastAsia="方正书宋_GBK"/>
                <w:sz w:val="21"/>
                <w:szCs w:val="21"/>
              </w:rPr>
              <w:t>1号口</w:t>
            </w:r>
          </w:p>
        </w:tc>
        <w:tc>
          <w:tcPr>
            <w:tcW w:w="1428" w:type="dxa"/>
            <w:noWrap w:val="0"/>
            <w:vAlign w:val="center"/>
          </w:tcPr>
          <w:p w14:paraId="31FE3A03">
            <w:pPr>
              <w:jc w:val="center"/>
              <w:rPr>
                <w:rFonts w:eastAsia="方正书宋_GBK"/>
                <w:sz w:val="21"/>
                <w:szCs w:val="21"/>
              </w:rPr>
            </w:pPr>
            <w:r>
              <w:rPr>
                <w:rFonts w:eastAsia="方正书宋_GBK"/>
                <w:sz w:val="21"/>
                <w:szCs w:val="21"/>
              </w:rPr>
              <w:t>秦淮区</w:t>
            </w:r>
          </w:p>
        </w:tc>
        <w:tc>
          <w:tcPr>
            <w:tcW w:w="2730" w:type="dxa"/>
            <w:noWrap/>
            <w:vAlign w:val="center"/>
          </w:tcPr>
          <w:p w14:paraId="6928959E">
            <w:pPr>
              <w:rPr>
                <w:rFonts w:eastAsia="方正书宋_GBK"/>
                <w:sz w:val="21"/>
                <w:szCs w:val="21"/>
              </w:rPr>
            </w:pPr>
            <w:r>
              <w:rPr>
                <w:rFonts w:eastAsia="方正书宋_GBK"/>
                <w:sz w:val="21"/>
                <w:szCs w:val="21"/>
              </w:rPr>
              <w:t>第三方通道</w:t>
            </w:r>
          </w:p>
          <w:p w14:paraId="217FCA12">
            <w:pPr>
              <w:rPr>
                <w:rFonts w:eastAsia="方正书宋_GBK"/>
                <w:sz w:val="21"/>
                <w:szCs w:val="21"/>
              </w:rPr>
            </w:pPr>
            <w:r>
              <w:rPr>
                <w:rFonts w:eastAsia="方正书宋_GBK"/>
                <w:sz w:val="21"/>
                <w:szCs w:val="21"/>
              </w:rPr>
              <w:t>通往金陵中环且通往地面</w:t>
            </w:r>
          </w:p>
        </w:tc>
        <w:tc>
          <w:tcPr>
            <w:tcW w:w="3944" w:type="dxa"/>
            <w:noWrap/>
            <w:vAlign w:val="center"/>
          </w:tcPr>
          <w:p w14:paraId="2E73A208">
            <w:pPr>
              <w:jc w:val="center"/>
              <w:rPr>
                <w:rFonts w:eastAsia="方正书宋_GBK"/>
                <w:sz w:val="21"/>
                <w:szCs w:val="21"/>
              </w:rPr>
            </w:pPr>
            <w:r>
              <w:rPr>
                <w:rFonts w:eastAsia="方正书宋_GBK"/>
                <w:sz w:val="21"/>
                <w:szCs w:val="21"/>
              </w:rPr>
              <w:drawing>
                <wp:inline distT="0" distB="0" distL="114300" distR="114300">
                  <wp:extent cx="2291080" cy="1224915"/>
                  <wp:effectExtent l="0" t="0" r="13970" b="13335"/>
                  <wp:docPr id="20" name="图片 4" descr="1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1号口"/>
                          <pic:cNvPicPr>
                            <a:picLocks noChangeAspect="1"/>
                          </pic:cNvPicPr>
                        </pic:nvPicPr>
                        <pic:blipFill>
                          <a:blip r:embed="rId21"/>
                          <a:stretch>
                            <a:fillRect/>
                          </a:stretch>
                        </pic:blipFill>
                        <pic:spPr>
                          <a:xfrm>
                            <a:off x="0" y="0"/>
                            <a:ext cx="2291080" cy="1224915"/>
                          </a:xfrm>
                          <a:prstGeom prst="rect">
                            <a:avLst/>
                          </a:prstGeom>
                          <a:noFill/>
                          <a:ln>
                            <a:noFill/>
                          </a:ln>
                        </pic:spPr>
                      </pic:pic>
                    </a:graphicData>
                  </a:graphic>
                </wp:inline>
              </w:drawing>
            </w:r>
          </w:p>
        </w:tc>
      </w:tr>
      <w:tr w14:paraId="04F8E646">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96" w:type="dxa"/>
            <w:noWrap/>
            <w:vAlign w:val="center"/>
          </w:tcPr>
          <w:p w14:paraId="5B980D03">
            <w:pPr>
              <w:jc w:val="center"/>
              <w:rPr>
                <w:rFonts w:eastAsia="方正书宋_GBK"/>
                <w:sz w:val="21"/>
                <w:szCs w:val="21"/>
              </w:rPr>
            </w:pPr>
            <w:r>
              <w:rPr>
                <w:rFonts w:eastAsia="方正书宋_GBK"/>
                <w:sz w:val="21"/>
                <w:szCs w:val="21"/>
              </w:rPr>
              <w:t>2号口</w:t>
            </w:r>
          </w:p>
        </w:tc>
        <w:tc>
          <w:tcPr>
            <w:tcW w:w="1428" w:type="dxa"/>
            <w:noWrap w:val="0"/>
            <w:vAlign w:val="center"/>
          </w:tcPr>
          <w:p w14:paraId="786243B1">
            <w:pPr>
              <w:jc w:val="center"/>
              <w:rPr>
                <w:rFonts w:eastAsia="方正书宋_GBK"/>
                <w:sz w:val="21"/>
                <w:szCs w:val="21"/>
              </w:rPr>
            </w:pPr>
            <w:r>
              <w:rPr>
                <w:rFonts w:eastAsia="方正书宋_GBK"/>
                <w:sz w:val="21"/>
                <w:szCs w:val="21"/>
              </w:rPr>
              <w:t>秦淮区</w:t>
            </w:r>
          </w:p>
        </w:tc>
        <w:tc>
          <w:tcPr>
            <w:tcW w:w="2730" w:type="dxa"/>
            <w:noWrap/>
            <w:vAlign w:val="center"/>
          </w:tcPr>
          <w:p w14:paraId="1917F332">
            <w:pPr>
              <w:rPr>
                <w:rFonts w:eastAsia="方正书宋_GBK"/>
                <w:sz w:val="21"/>
                <w:szCs w:val="21"/>
              </w:rPr>
            </w:pPr>
            <w:r>
              <w:rPr>
                <w:rFonts w:eastAsia="方正书宋_GBK"/>
                <w:sz w:val="21"/>
                <w:szCs w:val="21"/>
              </w:rPr>
              <w:t>连接通道</w:t>
            </w:r>
          </w:p>
          <w:p w14:paraId="0BF7BF72">
            <w:pPr>
              <w:rPr>
                <w:rFonts w:eastAsia="方正书宋_GBK"/>
                <w:sz w:val="21"/>
                <w:szCs w:val="21"/>
              </w:rPr>
            </w:pPr>
            <w:r>
              <w:rPr>
                <w:rFonts w:eastAsia="方正书宋_GBK"/>
                <w:sz w:val="21"/>
                <w:szCs w:val="21"/>
              </w:rPr>
              <w:t>站厅</w:t>
            </w:r>
            <w:r>
              <w:rPr>
                <w:rFonts w:hint="eastAsia" w:eastAsia="方正书宋_GBK"/>
                <w:sz w:val="21"/>
                <w:szCs w:val="21"/>
              </w:rPr>
              <w:t>——</w:t>
            </w:r>
            <w:r>
              <w:rPr>
                <w:rFonts w:eastAsia="方正书宋_GBK"/>
                <w:sz w:val="21"/>
                <w:szCs w:val="21"/>
              </w:rPr>
              <w:t>商业层</w:t>
            </w:r>
          </w:p>
        </w:tc>
        <w:tc>
          <w:tcPr>
            <w:tcW w:w="3944" w:type="dxa"/>
            <w:noWrap/>
            <w:vAlign w:val="center"/>
          </w:tcPr>
          <w:p w14:paraId="44391CD4">
            <w:pPr>
              <w:jc w:val="center"/>
              <w:rPr>
                <w:rFonts w:eastAsia="方正书宋_GBK"/>
                <w:sz w:val="21"/>
                <w:szCs w:val="21"/>
              </w:rPr>
            </w:pPr>
            <w:r>
              <w:rPr>
                <w:rFonts w:eastAsia="方正书宋_GBK"/>
                <w:sz w:val="21"/>
                <w:szCs w:val="21"/>
              </w:rPr>
              <w:drawing>
                <wp:inline distT="0" distB="0" distL="114300" distR="114300">
                  <wp:extent cx="2242185" cy="1250315"/>
                  <wp:effectExtent l="0" t="0" r="5715" b="6985"/>
                  <wp:docPr id="19" name="图片 5" descr="2号口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2号口下"/>
                          <pic:cNvPicPr>
                            <a:picLocks noChangeAspect="1"/>
                          </pic:cNvPicPr>
                        </pic:nvPicPr>
                        <pic:blipFill>
                          <a:blip r:embed="rId22"/>
                          <a:stretch>
                            <a:fillRect/>
                          </a:stretch>
                        </pic:blipFill>
                        <pic:spPr>
                          <a:xfrm>
                            <a:off x="0" y="0"/>
                            <a:ext cx="2242185" cy="1250315"/>
                          </a:xfrm>
                          <a:prstGeom prst="rect">
                            <a:avLst/>
                          </a:prstGeom>
                          <a:noFill/>
                          <a:ln>
                            <a:noFill/>
                          </a:ln>
                        </pic:spPr>
                      </pic:pic>
                    </a:graphicData>
                  </a:graphic>
                </wp:inline>
              </w:drawing>
            </w:r>
          </w:p>
        </w:tc>
      </w:tr>
      <w:tr w14:paraId="49C5D39A">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96" w:type="dxa"/>
            <w:noWrap/>
            <w:vAlign w:val="center"/>
          </w:tcPr>
          <w:p w14:paraId="6E9B3B58">
            <w:pPr>
              <w:jc w:val="center"/>
              <w:rPr>
                <w:rFonts w:eastAsia="方正书宋_GBK"/>
                <w:sz w:val="21"/>
                <w:szCs w:val="21"/>
              </w:rPr>
            </w:pPr>
            <w:r>
              <w:rPr>
                <w:rFonts w:eastAsia="方正书宋_GBK"/>
                <w:sz w:val="21"/>
                <w:szCs w:val="21"/>
              </w:rPr>
              <w:t>3号口</w:t>
            </w:r>
          </w:p>
        </w:tc>
        <w:tc>
          <w:tcPr>
            <w:tcW w:w="1428" w:type="dxa"/>
            <w:noWrap w:val="0"/>
            <w:vAlign w:val="center"/>
          </w:tcPr>
          <w:p w14:paraId="720085CF">
            <w:pPr>
              <w:jc w:val="center"/>
              <w:rPr>
                <w:rFonts w:eastAsia="方正书宋_GBK"/>
                <w:sz w:val="21"/>
                <w:szCs w:val="21"/>
              </w:rPr>
            </w:pPr>
            <w:r>
              <w:rPr>
                <w:rFonts w:eastAsia="方正书宋_GBK"/>
                <w:sz w:val="21"/>
                <w:szCs w:val="21"/>
              </w:rPr>
              <w:t>秦淮区</w:t>
            </w:r>
          </w:p>
        </w:tc>
        <w:tc>
          <w:tcPr>
            <w:tcW w:w="2730" w:type="dxa"/>
            <w:noWrap/>
            <w:vAlign w:val="center"/>
          </w:tcPr>
          <w:p w14:paraId="1008DAC8">
            <w:pPr>
              <w:rPr>
                <w:rFonts w:eastAsia="方正书宋_GBK"/>
                <w:sz w:val="21"/>
                <w:szCs w:val="21"/>
              </w:rPr>
            </w:pPr>
            <w:r>
              <w:rPr>
                <w:rFonts w:eastAsia="方正书宋_GBK"/>
                <w:sz w:val="21"/>
                <w:szCs w:val="21"/>
              </w:rPr>
              <w:t>第三方通道</w:t>
            </w:r>
          </w:p>
          <w:p w14:paraId="36619655">
            <w:pPr>
              <w:rPr>
                <w:rFonts w:eastAsia="方正书宋_GBK"/>
                <w:sz w:val="21"/>
                <w:szCs w:val="21"/>
              </w:rPr>
            </w:pPr>
            <w:r>
              <w:rPr>
                <w:rFonts w:eastAsia="方正书宋_GBK"/>
                <w:sz w:val="21"/>
                <w:szCs w:val="21"/>
              </w:rPr>
              <w:t>通往福来德且通往地面</w:t>
            </w:r>
          </w:p>
        </w:tc>
        <w:tc>
          <w:tcPr>
            <w:tcW w:w="3944" w:type="dxa"/>
            <w:noWrap/>
            <w:vAlign w:val="center"/>
          </w:tcPr>
          <w:p w14:paraId="76CD9ACB">
            <w:pPr>
              <w:jc w:val="center"/>
              <w:rPr>
                <w:rFonts w:eastAsia="方正书宋_GBK"/>
                <w:sz w:val="21"/>
                <w:szCs w:val="21"/>
              </w:rPr>
            </w:pPr>
            <w:r>
              <w:rPr>
                <w:rFonts w:eastAsia="方正书宋_GBK"/>
                <w:sz w:val="21"/>
                <w:szCs w:val="21"/>
              </w:rPr>
              <w:drawing>
                <wp:inline distT="0" distB="0" distL="114300" distR="114300">
                  <wp:extent cx="2260600" cy="1299845"/>
                  <wp:effectExtent l="0" t="0" r="6350" b="14605"/>
                  <wp:docPr id="18" name="图片 6" descr="3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3号口"/>
                          <pic:cNvPicPr>
                            <a:picLocks noChangeAspect="1"/>
                          </pic:cNvPicPr>
                        </pic:nvPicPr>
                        <pic:blipFill>
                          <a:blip r:embed="rId23"/>
                          <a:stretch>
                            <a:fillRect/>
                          </a:stretch>
                        </pic:blipFill>
                        <pic:spPr>
                          <a:xfrm>
                            <a:off x="0" y="0"/>
                            <a:ext cx="2260600" cy="1299845"/>
                          </a:xfrm>
                          <a:prstGeom prst="rect">
                            <a:avLst/>
                          </a:prstGeom>
                          <a:noFill/>
                          <a:ln>
                            <a:noFill/>
                          </a:ln>
                        </pic:spPr>
                      </pic:pic>
                    </a:graphicData>
                  </a:graphic>
                </wp:inline>
              </w:drawing>
            </w:r>
          </w:p>
        </w:tc>
      </w:tr>
      <w:tr w14:paraId="1701791C">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96" w:type="dxa"/>
            <w:noWrap/>
            <w:vAlign w:val="center"/>
          </w:tcPr>
          <w:p w14:paraId="68710C3F">
            <w:pPr>
              <w:jc w:val="center"/>
              <w:rPr>
                <w:rFonts w:eastAsia="方正书宋_GBK"/>
                <w:sz w:val="21"/>
                <w:szCs w:val="21"/>
              </w:rPr>
            </w:pPr>
            <w:r>
              <w:rPr>
                <w:rFonts w:eastAsia="方正书宋_GBK"/>
                <w:sz w:val="21"/>
                <w:szCs w:val="21"/>
              </w:rPr>
              <w:t>4号口</w:t>
            </w:r>
          </w:p>
        </w:tc>
        <w:tc>
          <w:tcPr>
            <w:tcW w:w="1428" w:type="dxa"/>
            <w:noWrap w:val="0"/>
            <w:vAlign w:val="center"/>
          </w:tcPr>
          <w:p w14:paraId="3A0A6489">
            <w:pPr>
              <w:jc w:val="center"/>
              <w:rPr>
                <w:rFonts w:eastAsia="方正书宋_GBK"/>
                <w:sz w:val="21"/>
                <w:szCs w:val="21"/>
              </w:rPr>
            </w:pPr>
            <w:r>
              <w:rPr>
                <w:rFonts w:eastAsia="方正书宋_GBK"/>
                <w:sz w:val="21"/>
                <w:szCs w:val="21"/>
              </w:rPr>
              <w:t>秦淮区</w:t>
            </w:r>
          </w:p>
        </w:tc>
        <w:tc>
          <w:tcPr>
            <w:tcW w:w="2730" w:type="dxa"/>
            <w:noWrap/>
            <w:vAlign w:val="center"/>
          </w:tcPr>
          <w:p w14:paraId="5EC795DD">
            <w:pPr>
              <w:rPr>
                <w:rFonts w:eastAsia="方正书宋_GBK"/>
                <w:sz w:val="21"/>
                <w:szCs w:val="21"/>
              </w:rPr>
            </w:pPr>
            <w:r>
              <w:rPr>
                <w:rFonts w:eastAsia="方正书宋_GBK"/>
                <w:sz w:val="21"/>
                <w:szCs w:val="21"/>
              </w:rPr>
              <w:t>第三方通道</w:t>
            </w:r>
          </w:p>
          <w:p w14:paraId="043D06CA">
            <w:pPr>
              <w:rPr>
                <w:rFonts w:eastAsia="方正书宋_GBK"/>
                <w:sz w:val="21"/>
                <w:szCs w:val="21"/>
              </w:rPr>
            </w:pPr>
            <w:r>
              <w:rPr>
                <w:rFonts w:eastAsia="方正书宋_GBK"/>
                <w:sz w:val="21"/>
                <w:szCs w:val="21"/>
              </w:rPr>
              <w:t>通往国际金融中心且通往地面</w:t>
            </w:r>
          </w:p>
        </w:tc>
        <w:tc>
          <w:tcPr>
            <w:tcW w:w="3944" w:type="dxa"/>
            <w:noWrap/>
            <w:vAlign w:val="center"/>
          </w:tcPr>
          <w:p w14:paraId="33698BE1">
            <w:pPr>
              <w:jc w:val="center"/>
              <w:rPr>
                <w:rFonts w:eastAsia="方正书宋_GBK"/>
                <w:sz w:val="21"/>
                <w:szCs w:val="21"/>
              </w:rPr>
            </w:pPr>
            <w:r>
              <w:rPr>
                <w:rFonts w:eastAsia="方正书宋_GBK"/>
                <w:sz w:val="21"/>
                <w:szCs w:val="21"/>
              </w:rPr>
              <w:drawing>
                <wp:inline distT="0" distB="0" distL="114300" distR="114300">
                  <wp:extent cx="2268855" cy="1259840"/>
                  <wp:effectExtent l="0" t="0" r="17145" b="16510"/>
                  <wp:docPr id="17" name="图片 7" descr="4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4外"/>
                          <pic:cNvPicPr>
                            <a:picLocks noChangeAspect="1"/>
                          </pic:cNvPicPr>
                        </pic:nvPicPr>
                        <pic:blipFill>
                          <a:blip r:embed="rId24"/>
                          <a:srcRect r="27902"/>
                          <a:stretch>
                            <a:fillRect/>
                          </a:stretch>
                        </pic:blipFill>
                        <pic:spPr>
                          <a:xfrm>
                            <a:off x="0" y="0"/>
                            <a:ext cx="2268855" cy="1259840"/>
                          </a:xfrm>
                          <a:prstGeom prst="rect">
                            <a:avLst/>
                          </a:prstGeom>
                          <a:noFill/>
                          <a:ln>
                            <a:noFill/>
                          </a:ln>
                        </pic:spPr>
                      </pic:pic>
                    </a:graphicData>
                  </a:graphic>
                </wp:inline>
              </w:drawing>
            </w:r>
          </w:p>
        </w:tc>
      </w:tr>
      <w:tr w14:paraId="20751422">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96" w:type="dxa"/>
            <w:noWrap/>
            <w:vAlign w:val="center"/>
          </w:tcPr>
          <w:p w14:paraId="4377913E">
            <w:pPr>
              <w:jc w:val="center"/>
              <w:rPr>
                <w:rFonts w:eastAsia="方正书宋_GBK"/>
                <w:sz w:val="21"/>
                <w:szCs w:val="21"/>
              </w:rPr>
            </w:pPr>
            <w:r>
              <w:rPr>
                <w:rFonts w:eastAsia="方正书宋_GBK"/>
                <w:sz w:val="21"/>
                <w:szCs w:val="21"/>
              </w:rPr>
              <w:t>5号口</w:t>
            </w:r>
          </w:p>
        </w:tc>
        <w:tc>
          <w:tcPr>
            <w:tcW w:w="1428" w:type="dxa"/>
            <w:noWrap w:val="0"/>
            <w:vAlign w:val="center"/>
          </w:tcPr>
          <w:p w14:paraId="0B2A4248">
            <w:pPr>
              <w:jc w:val="center"/>
              <w:rPr>
                <w:rFonts w:eastAsia="方正书宋_GBK"/>
                <w:sz w:val="21"/>
                <w:szCs w:val="21"/>
              </w:rPr>
            </w:pPr>
            <w:r>
              <w:rPr>
                <w:rFonts w:eastAsia="方正书宋_GBK"/>
                <w:sz w:val="21"/>
                <w:szCs w:val="21"/>
              </w:rPr>
              <w:t>秦淮区</w:t>
            </w:r>
          </w:p>
        </w:tc>
        <w:tc>
          <w:tcPr>
            <w:tcW w:w="2730" w:type="dxa"/>
            <w:noWrap/>
            <w:vAlign w:val="center"/>
          </w:tcPr>
          <w:p w14:paraId="5C590E4C">
            <w:pPr>
              <w:rPr>
                <w:rFonts w:eastAsia="方正书宋_GBK"/>
                <w:sz w:val="21"/>
                <w:szCs w:val="21"/>
              </w:rPr>
            </w:pPr>
            <w:r>
              <w:rPr>
                <w:rFonts w:eastAsia="方正书宋_GBK"/>
                <w:sz w:val="21"/>
                <w:szCs w:val="21"/>
              </w:rPr>
              <w:t>第三方通道</w:t>
            </w:r>
          </w:p>
          <w:p w14:paraId="2068D73F">
            <w:pPr>
              <w:rPr>
                <w:rFonts w:eastAsia="方正书宋_GBK"/>
                <w:sz w:val="21"/>
                <w:szCs w:val="21"/>
              </w:rPr>
            </w:pPr>
            <w:r>
              <w:rPr>
                <w:rFonts w:eastAsia="方正书宋_GBK"/>
                <w:sz w:val="21"/>
                <w:szCs w:val="21"/>
              </w:rPr>
              <w:t>通往国际金融中心且通往地面</w:t>
            </w:r>
          </w:p>
        </w:tc>
        <w:tc>
          <w:tcPr>
            <w:tcW w:w="3944" w:type="dxa"/>
            <w:noWrap/>
            <w:vAlign w:val="center"/>
          </w:tcPr>
          <w:p w14:paraId="070BAACD">
            <w:pPr>
              <w:jc w:val="center"/>
              <w:rPr>
                <w:rFonts w:eastAsia="方正书宋_GBK"/>
                <w:sz w:val="21"/>
                <w:szCs w:val="21"/>
              </w:rPr>
            </w:pPr>
            <w:r>
              <w:rPr>
                <w:rFonts w:eastAsia="方正书宋_GBK"/>
                <w:sz w:val="21"/>
                <w:szCs w:val="21"/>
              </w:rPr>
              <w:drawing>
                <wp:inline distT="0" distB="0" distL="114300" distR="114300">
                  <wp:extent cx="2215515" cy="1240155"/>
                  <wp:effectExtent l="0" t="0" r="13335" b="17145"/>
                  <wp:docPr id="16" name="图片 8" descr="5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5外"/>
                          <pic:cNvPicPr>
                            <a:picLocks noChangeAspect="1"/>
                          </pic:cNvPicPr>
                        </pic:nvPicPr>
                        <pic:blipFill>
                          <a:blip r:embed="rId25"/>
                          <a:srcRect l="8620" r="26385"/>
                          <a:stretch>
                            <a:fillRect/>
                          </a:stretch>
                        </pic:blipFill>
                        <pic:spPr>
                          <a:xfrm>
                            <a:off x="0" y="0"/>
                            <a:ext cx="2215515" cy="1240155"/>
                          </a:xfrm>
                          <a:prstGeom prst="rect">
                            <a:avLst/>
                          </a:prstGeom>
                          <a:noFill/>
                          <a:ln>
                            <a:noFill/>
                          </a:ln>
                        </pic:spPr>
                      </pic:pic>
                    </a:graphicData>
                  </a:graphic>
                </wp:inline>
              </w:drawing>
            </w:r>
          </w:p>
        </w:tc>
      </w:tr>
      <w:tr w14:paraId="0522F173">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96" w:type="dxa"/>
            <w:noWrap/>
            <w:vAlign w:val="center"/>
          </w:tcPr>
          <w:p w14:paraId="3799BCF9">
            <w:pPr>
              <w:jc w:val="center"/>
              <w:rPr>
                <w:rFonts w:eastAsia="方正书宋_GBK"/>
                <w:sz w:val="21"/>
                <w:szCs w:val="21"/>
              </w:rPr>
            </w:pPr>
            <w:r>
              <w:rPr>
                <w:rFonts w:eastAsia="方正书宋_GBK"/>
                <w:sz w:val="21"/>
                <w:szCs w:val="21"/>
              </w:rPr>
              <w:t>6号口</w:t>
            </w:r>
          </w:p>
        </w:tc>
        <w:tc>
          <w:tcPr>
            <w:tcW w:w="1428" w:type="dxa"/>
            <w:noWrap/>
            <w:vAlign w:val="center"/>
          </w:tcPr>
          <w:p w14:paraId="0BADCFB1">
            <w:pPr>
              <w:jc w:val="center"/>
              <w:rPr>
                <w:rFonts w:eastAsia="方正书宋_GBK"/>
                <w:sz w:val="21"/>
                <w:szCs w:val="21"/>
              </w:rPr>
            </w:pPr>
            <w:r>
              <w:rPr>
                <w:rFonts w:eastAsia="方正书宋_GBK"/>
                <w:sz w:val="21"/>
                <w:szCs w:val="21"/>
              </w:rPr>
              <w:t>鼓楼区</w:t>
            </w:r>
          </w:p>
        </w:tc>
        <w:tc>
          <w:tcPr>
            <w:tcW w:w="2730" w:type="dxa"/>
            <w:noWrap/>
            <w:vAlign w:val="center"/>
          </w:tcPr>
          <w:p w14:paraId="12FED8CC">
            <w:pPr>
              <w:rPr>
                <w:rFonts w:eastAsia="方正书宋_GBK"/>
                <w:sz w:val="21"/>
                <w:szCs w:val="21"/>
              </w:rPr>
            </w:pPr>
            <w:r>
              <w:rPr>
                <w:rFonts w:eastAsia="方正书宋_GBK"/>
                <w:sz w:val="21"/>
                <w:szCs w:val="21"/>
              </w:rPr>
              <w:t>地面出口</w:t>
            </w:r>
          </w:p>
        </w:tc>
        <w:tc>
          <w:tcPr>
            <w:tcW w:w="3944" w:type="dxa"/>
            <w:noWrap/>
            <w:vAlign w:val="center"/>
          </w:tcPr>
          <w:p w14:paraId="5E959B86">
            <w:pPr>
              <w:jc w:val="center"/>
              <w:rPr>
                <w:rFonts w:eastAsia="方正书宋_GBK"/>
                <w:sz w:val="21"/>
                <w:szCs w:val="21"/>
              </w:rPr>
            </w:pPr>
            <w:r>
              <w:rPr>
                <w:rFonts w:eastAsia="方正书宋_GBK"/>
                <w:sz w:val="21"/>
                <w:szCs w:val="21"/>
              </w:rPr>
              <w:drawing>
                <wp:inline distT="0" distB="0" distL="114300" distR="114300">
                  <wp:extent cx="2232025" cy="1270000"/>
                  <wp:effectExtent l="0" t="0" r="15875" b="6350"/>
                  <wp:docPr id="15" name="图片 9" descr="6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6号口"/>
                          <pic:cNvPicPr>
                            <a:picLocks noChangeAspect="1"/>
                          </pic:cNvPicPr>
                        </pic:nvPicPr>
                        <pic:blipFill>
                          <a:blip r:embed="rId26"/>
                          <a:srcRect l="9129" r="13364"/>
                          <a:stretch>
                            <a:fillRect/>
                          </a:stretch>
                        </pic:blipFill>
                        <pic:spPr>
                          <a:xfrm>
                            <a:off x="0" y="0"/>
                            <a:ext cx="2232025" cy="1270000"/>
                          </a:xfrm>
                          <a:prstGeom prst="rect">
                            <a:avLst/>
                          </a:prstGeom>
                          <a:noFill/>
                          <a:ln>
                            <a:noFill/>
                          </a:ln>
                        </pic:spPr>
                      </pic:pic>
                    </a:graphicData>
                  </a:graphic>
                </wp:inline>
              </w:drawing>
            </w:r>
          </w:p>
        </w:tc>
      </w:tr>
      <w:tr w14:paraId="3CED3154">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trHeight w:val="2063" w:hRule="atLeast"/>
          <w:jc w:val="center"/>
        </w:trPr>
        <w:tc>
          <w:tcPr>
            <w:tcW w:w="996" w:type="dxa"/>
            <w:noWrap/>
            <w:vAlign w:val="center"/>
          </w:tcPr>
          <w:p w14:paraId="0A406126">
            <w:pPr>
              <w:jc w:val="center"/>
              <w:rPr>
                <w:rFonts w:eastAsia="方正书宋_GBK"/>
                <w:sz w:val="21"/>
                <w:szCs w:val="21"/>
              </w:rPr>
            </w:pPr>
            <w:r>
              <w:rPr>
                <w:rFonts w:eastAsia="方正书宋_GBK"/>
                <w:sz w:val="21"/>
                <w:szCs w:val="21"/>
              </w:rPr>
              <w:t>7号口</w:t>
            </w:r>
          </w:p>
        </w:tc>
        <w:tc>
          <w:tcPr>
            <w:tcW w:w="1428" w:type="dxa"/>
            <w:noWrap w:val="0"/>
            <w:vAlign w:val="center"/>
          </w:tcPr>
          <w:p w14:paraId="4E6A6720">
            <w:pPr>
              <w:jc w:val="center"/>
              <w:rPr>
                <w:rFonts w:eastAsia="方正书宋_GBK"/>
                <w:sz w:val="21"/>
                <w:szCs w:val="21"/>
              </w:rPr>
            </w:pPr>
            <w:r>
              <w:rPr>
                <w:rFonts w:eastAsia="方正书宋_GBK"/>
                <w:sz w:val="21"/>
                <w:szCs w:val="21"/>
              </w:rPr>
              <w:t>玄武区</w:t>
            </w:r>
          </w:p>
        </w:tc>
        <w:tc>
          <w:tcPr>
            <w:tcW w:w="2730" w:type="dxa"/>
            <w:noWrap/>
            <w:vAlign w:val="center"/>
          </w:tcPr>
          <w:p w14:paraId="1E88A9D0">
            <w:pPr>
              <w:rPr>
                <w:rFonts w:eastAsia="方正书宋_GBK"/>
                <w:sz w:val="21"/>
                <w:szCs w:val="21"/>
              </w:rPr>
            </w:pPr>
            <w:r>
              <w:rPr>
                <w:rFonts w:eastAsia="方正书宋_GBK"/>
                <w:sz w:val="21"/>
                <w:szCs w:val="21"/>
              </w:rPr>
              <w:t>第三方通道</w:t>
            </w:r>
          </w:p>
          <w:p w14:paraId="50E4E5FB">
            <w:pPr>
              <w:rPr>
                <w:rFonts w:eastAsia="方正书宋_GBK"/>
                <w:sz w:val="21"/>
                <w:szCs w:val="21"/>
              </w:rPr>
            </w:pPr>
            <w:r>
              <w:rPr>
                <w:rFonts w:eastAsia="方正书宋_GBK"/>
                <w:sz w:val="21"/>
                <w:szCs w:val="21"/>
              </w:rPr>
              <w:t>通往德基且通往地面</w:t>
            </w:r>
          </w:p>
        </w:tc>
        <w:tc>
          <w:tcPr>
            <w:tcW w:w="3944" w:type="dxa"/>
            <w:noWrap/>
            <w:vAlign w:val="center"/>
          </w:tcPr>
          <w:p w14:paraId="1C374EC3">
            <w:pPr>
              <w:jc w:val="center"/>
              <w:rPr>
                <w:rFonts w:eastAsia="方正书宋_GBK"/>
                <w:sz w:val="21"/>
                <w:szCs w:val="21"/>
              </w:rPr>
            </w:pPr>
            <w:r>
              <w:rPr>
                <w:rFonts w:eastAsia="方正书宋_GBK"/>
                <w:sz w:val="21"/>
                <w:szCs w:val="21"/>
              </w:rPr>
              <w:drawing>
                <wp:inline distT="0" distB="0" distL="114300" distR="114300">
                  <wp:extent cx="2249805" cy="1245235"/>
                  <wp:effectExtent l="0" t="0" r="17145" b="12065"/>
                  <wp:docPr id="14" name="图片 10" descr="7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7下"/>
                          <pic:cNvPicPr>
                            <a:picLocks noChangeAspect="1"/>
                          </pic:cNvPicPr>
                        </pic:nvPicPr>
                        <pic:blipFill>
                          <a:blip r:embed="rId27"/>
                          <a:srcRect l="7143" r="14507"/>
                          <a:stretch>
                            <a:fillRect/>
                          </a:stretch>
                        </pic:blipFill>
                        <pic:spPr>
                          <a:xfrm>
                            <a:off x="0" y="0"/>
                            <a:ext cx="2249805" cy="1245235"/>
                          </a:xfrm>
                          <a:prstGeom prst="rect">
                            <a:avLst/>
                          </a:prstGeom>
                          <a:noFill/>
                          <a:ln>
                            <a:noFill/>
                          </a:ln>
                        </pic:spPr>
                      </pic:pic>
                    </a:graphicData>
                  </a:graphic>
                </wp:inline>
              </w:drawing>
            </w:r>
          </w:p>
        </w:tc>
      </w:tr>
      <w:tr w14:paraId="7A006D4B">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trHeight w:val="2063" w:hRule="atLeast"/>
          <w:jc w:val="center"/>
        </w:trPr>
        <w:tc>
          <w:tcPr>
            <w:tcW w:w="996" w:type="dxa"/>
            <w:noWrap/>
            <w:vAlign w:val="center"/>
          </w:tcPr>
          <w:p w14:paraId="631EFA8C">
            <w:pPr>
              <w:jc w:val="center"/>
              <w:rPr>
                <w:rFonts w:eastAsia="方正书宋_GBK"/>
                <w:sz w:val="21"/>
                <w:szCs w:val="21"/>
              </w:rPr>
            </w:pPr>
            <w:r>
              <w:rPr>
                <w:rFonts w:eastAsia="方正书宋_GBK"/>
                <w:sz w:val="21"/>
                <w:szCs w:val="21"/>
              </w:rPr>
              <w:t>8号口</w:t>
            </w:r>
          </w:p>
        </w:tc>
        <w:tc>
          <w:tcPr>
            <w:tcW w:w="1428" w:type="dxa"/>
            <w:noWrap w:val="0"/>
            <w:vAlign w:val="center"/>
          </w:tcPr>
          <w:p w14:paraId="7E049884">
            <w:pPr>
              <w:jc w:val="center"/>
              <w:rPr>
                <w:rFonts w:eastAsia="方正书宋_GBK"/>
                <w:sz w:val="21"/>
                <w:szCs w:val="21"/>
              </w:rPr>
            </w:pPr>
            <w:r>
              <w:rPr>
                <w:rFonts w:eastAsia="方正书宋_GBK"/>
                <w:sz w:val="21"/>
                <w:szCs w:val="21"/>
              </w:rPr>
              <w:t>秦淮区</w:t>
            </w:r>
          </w:p>
        </w:tc>
        <w:tc>
          <w:tcPr>
            <w:tcW w:w="2730" w:type="dxa"/>
            <w:noWrap/>
            <w:vAlign w:val="center"/>
          </w:tcPr>
          <w:p w14:paraId="6095DA39">
            <w:pPr>
              <w:rPr>
                <w:rFonts w:eastAsia="方正书宋_GBK"/>
                <w:sz w:val="21"/>
                <w:szCs w:val="21"/>
              </w:rPr>
            </w:pPr>
            <w:r>
              <w:rPr>
                <w:rFonts w:eastAsia="方正书宋_GBK"/>
                <w:sz w:val="21"/>
                <w:szCs w:val="21"/>
              </w:rPr>
              <w:t>第三方通道</w:t>
            </w:r>
          </w:p>
          <w:p w14:paraId="100132D4">
            <w:pPr>
              <w:rPr>
                <w:rFonts w:eastAsia="方正书宋_GBK"/>
                <w:sz w:val="21"/>
                <w:szCs w:val="21"/>
              </w:rPr>
            </w:pPr>
            <w:r>
              <w:rPr>
                <w:rFonts w:eastAsia="方正书宋_GBK"/>
                <w:sz w:val="21"/>
                <w:szCs w:val="21"/>
              </w:rPr>
              <w:t>通往新百</w:t>
            </w:r>
          </w:p>
        </w:tc>
        <w:tc>
          <w:tcPr>
            <w:tcW w:w="3944" w:type="dxa"/>
            <w:noWrap/>
            <w:vAlign w:val="center"/>
          </w:tcPr>
          <w:p w14:paraId="1350F954">
            <w:pPr>
              <w:jc w:val="center"/>
              <w:rPr>
                <w:rFonts w:eastAsia="方正书宋_GBK"/>
                <w:sz w:val="21"/>
                <w:szCs w:val="21"/>
              </w:rPr>
            </w:pPr>
            <w:r>
              <w:rPr>
                <w:rFonts w:eastAsia="方正书宋_GBK"/>
                <w:sz w:val="21"/>
                <w:szCs w:val="21"/>
              </w:rPr>
              <w:drawing>
                <wp:inline distT="0" distB="0" distL="114300" distR="114300">
                  <wp:extent cx="2260600" cy="1245235"/>
                  <wp:effectExtent l="0" t="0" r="6350" b="12065"/>
                  <wp:docPr id="13" name="图片 11" descr="8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8号口"/>
                          <pic:cNvPicPr>
                            <a:picLocks noChangeAspect="1"/>
                          </pic:cNvPicPr>
                        </pic:nvPicPr>
                        <pic:blipFill>
                          <a:blip r:embed="rId28"/>
                          <a:srcRect l="8736" r="15657"/>
                          <a:stretch>
                            <a:fillRect/>
                          </a:stretch>
                        </pic:blipFill>
                        <pic:spPr>
                          <a:xfrm>
                            <a:off x="0" y="0"/>
                            <a:ext cx="2260600" cy="1245235"/>
                          </a:xfrm>
                          <a:prstGeom prst="rect">
                            <a:avLst/>
                          </a:prstGeom>
                          <a:noFill/>
                          <a:ln>
                            <a:noFill/>
                          </a:ln>
                        </pic:spPr>
                      </pic:pic>
                    </a:graphicData>
                  </a:graphic>
                </wp:inline>
              </w:drawing>
            </w:r>
          </w:p>
        </w:tc>
      </w:tr>
      <w:tr w14:paraId="6E0160FC">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trHeight w:val="2064" w:hRule="atLeast"/>
          <w:jc w:val="center"/>
        </w:trPr>
        <w:tc>
          <w:tcPr>
            <w:tcW w:w="996" w:type="dxa"/>
            <w:noWrap/>
            <w:vAlign w:val="center"/>
          </w:tcPr>
          <w:p w14:paraId="49832A33">
            <w:pPr>
              <w:jc w:val="center"/>
              <w:rPr>
                <w:rFonts w:eastAsia="方正书宋_GBK"/>
                <w:sz w:val="21"/>
                <w:szCs w:val="21"/>
              </w:rPr>
            </w:pPr>
            <w:r>
              <w:rPr>
                <w:rFonts w:eastAsia="方正书宋_GBK"/>
                <w:sz w:val="21"/>
                <w:szCs w:val="21"/>
              </w:rPr>
              <w:t>9号口</w:t>
            </w:r>
          </w:p>
        </w:tc>
        <w:tc>
          <w:tcPr>
            <w:tcW w:w="1428" w:type="dxa"/>
            <w:noWrap w:val="0"/>
            <w:vAlign w:val="center"/>
          </w:tcPr>
          <w:p w14:paraId="2A40F656">
            <w:pPr>
              <w:jc w:val="center"/>
              <w:rPr>
                <w:rFonts w:eastAsia="方正书宋_GBK"/>
                <w:sz w:val="21"/>
                <w:szCs w:val="21"/>
              </w:rPr>
            </w:pPr>
            <w:r>
              <w:rPr>
                <w:rFonts w:eastAsia="方正书宋_GBK"/>
                <w:sz w:val="21"/>
                <w:szCs w:val="21"/>
              </w:rPr>
              <w:t>秦淮区</w:t>
            </w:r>
          </w:p>
        </w:tc>
        <w:tc>
          <w:tcPr>
            <w:tcW w:w="2730" w:type="dxa"/>
            <w:noWrap/>
            <w:vAlign w:val="center"/>
          </w:tcPr>
          <w:p w14:paraId="285B916D">
            <w:pPr>
              <w:rPr>
                <w:rFonts w:eastAsia="方正书宋_GBK"/>
                <w:sz w:val="21"/>
                <w:szCs w:val="21"/>
              </w:rPr>
            </w:pPr>
            <w:r>
              <w:rPr>
                <w:rFonts w:eastAsia="方正书宋_GBK"/>
                <w:sz w:val="21"/>
                <w:szCs w:val="21"/>
              </w:rPr>
              <w:t>第三方通道</w:t>
            </w:r>
          </w:p>
          <w:p w14:paraId="21D8CBE4">
            <w:pPr>
              <w:rPr>
                <w:rFonts w:eastAsia="方正书宋_GBK"/>
                <w:sz w:val="21"/>
                <w:szCs w:val="21"/>
              </w:rPr>
            </w:pPr>
            <w:r>
              <w:rPr>
                <w:rFonts w:eastAsia="方正书宋_GBK"/>
                <w:sz w:val="21"/>
                <w:szCs w:val="21"/>
              </w:rPr>
              <w:t>通往新百</w:t>
            </w:r>
          </w:p>
        </w:tc>
        <w:tc>
          <w:tcPr>
            <w:tcW w:w="3944" w:type="dxa"/>
            <w:noWrap/>
            <w:vAlign w:val="center"/>
          </w:tcPr>
          <w:p w14:paraId="41F22A40">
            <w:pPr>
              <w:jc w:val="center"/>
              <w:rPr>
                <w:rFonts w:eastAsia="方正书宋_GBK"/>
                <w:sz w:val="21"/>
                <w:szCs w:val="21"/>
              </w:rPr>
            </w:pPr>
            <w:r>
              <w:rPr>
                <w:rFonts w:eastAsia="方正书宋_GBK"/>
                <w:sz w:val="21"/>
                <w:szCs w:val="21"/>
              </w:rPr>
              <w:drawing>
                <wp:inline distT="0" distB="0" distL="114300" distR="114300">
                  <wp:extent cx="2289175" cy="1270000"/>
                  <wp:effectExtent l="0" t="0" r="15875" b="6350"/>
                  <wp:docPr id="12" name="图片 12" descr="9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号口"/>
                          <pic:cNvPicPr>
                            <a:picLocks noChangeAspect="1"/>
                          </pic:cNvPicPr>
                        </pic:nvPicPr>
                        <pic:blipFill>
                          <a:blip r:embed="rId29"/>
                          <a:srcRect l="12904" r="7709"/>
                          <a:stretch>
                            <a:fillRect/>
                          </a:stretch>
                        </pic:blipFill>
                        <pic:spPr>
                          <a:xfrm>
                            <a:off x="0" y="0"/>
                            <a:ext cx="2289175" cy="1270000"/>
                          </a:xfrm>
                          <a:prstGeom prst="rect">
                            <a:avLst/>
                          </a:prstGeom>
                          <a:noFill/>
                          <a:ln>
                            <a:noFill/>
                          </a:ln>
                        </pic:spPr>
                      </pic:pic>
                    </a:graphicData>
                  </a:graphic>
                </wp:inline>
              </w:drawing>
            </w:r>
          </w:p>
        </w:tc>
      </w:tr>
      <w:tr w14:paraId="31D512FA">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trHeight w:val="2063" w:hRule="atLeast"/>
          <w:jc w:val="center"/>
        </w:trPr>
        <w:tc>
          <w:tcPr>
            <w:tcW w:w="996" w:type="dxa"/>
            <w:noWrap/>
            <w:vAlign w:val="center"/>
          </w:tcPr>
          <w:p w14:paraId="2B4E6F6E">
            <w:pPr>
              <w:jc w:val="center"/>
              <w:rPr>
                <w:rFonts w:eastAsia="方正书宋_GBK"/>
                <w:sz w:val="21"/>
                <w:szCs w:val="21"/>
              </w:rPr>
            </w:pPr>
            <w:r>
              <w:rPr>
                <w:rFonts w:eastAsia="方正书宋_GBK"/>
                <w:sz w:val="21"/>
                <w:szCs w:val="21"/>
              </w:rPr>
              <w:t>10号口</w:t>
            </w:r>
          </w:p>
        </w:tc>
        <w:tc>
          <w:tcPr>
            <w:tcW w:w="1428" w:type="dxa"/>
            <w:noWrap w:val="0"/>
            <w:vAlign w:val="center"/>
          </w:tcPr>
          <w:p w14:paraId="752C64A6">
            <w:pPr>
              <w:jc w:val="center"/>
              <w:rPr>
                <w:rFonts w:eastAsia="方正书宋_GBK"/>
                <w:sz w:val="21"/>
                <w:szCs w:val="21"/>
              </w:rPr>
            </w:pPr>
            <w:r>
              <w:rPr>
                <w:rFonts w:eastAsia="方正书宋_GBK"/>
                <w:sz w:val="21"/>
                <w:szCs w:val="21"/>
              </w:rPr>
              <w:t>秦淮区</w:t>
            </w:r>
          </w:p>
        </w:tc>
        <w:tc>
          <w:tcPr>
            <w:tcW w:w="2730" w:type="dxa"/>
            <w:noWrap/>
            <w:vAlign w:val="center"/>
          </w:tcPr>
          <w:p w14:paraId="2948861C">
            <w:pPr>
              <w:rPr>
                <w:rFonts w:eastAsia="方正书宋_GBK"/>
                <w:sz w:val="21"/>
                <w:szCs w:val="21"/>
              </w:rPr>
            </w:pPr>
            <w:r>
              <w:rPr>
                <w:rFonts w:eastAsia="方正书宋_GBK"/>
                <w:sz w:val="21"/>
                <w:szCs w:val="21"/>
              </w:rPr>
              <w:t>第三方通道</w:t>
            </w:r>
          </w:p>
          <w:p w14:paraId="364D4453">
            <w:pPr>
              <w:rPr>
                <w:rFonts w:eastAsia="方正书宋_GBK"/>
                <w:sz w:val="21"/>
                <w:szCs w:val="21"/>
              </w:rPr>
            </w:pPr>
            <w:r>
              <w:rPr>
                <w:rFonts w:eastAsia="方正书宋_GBK"/>
                <w:sz w:val="21"/>
                <w:szCs w:val="21"/>
              </w:rPr>
              <w:t>通往新百</w:t>
            </w:r>
          </w:p>
        </w:tc>
        <w:tc>
          <w:tcPr>
            <w:tcW w:w="3944" w:type="dxa"/>
            <w:noWrap/>
            <w:vAlign w:val="center"/>
          </w:tcPr>
          <w:p w14:paraId="3E3C222D">
            <w:pPr>
              <w:jc w:val="center"/>
              <w:rPr>
                <w:rFonts w:eastAsia="方正书宋_GBK"/>
                <w:sz w:val="21"/>
                <w:szCs w:val="21"/>
              </w:rPr>
            </w:pPr>
            <w:r>
              <w:rPr>
                <w:rFonts w:eastAsia="方正书宋_GBK"/>
                <w:sz w:val="21"/>
                <w:szCs w:val="21"/>
              </w:rPr>
              <w:drawing>
                <wp:inline distT="0" distB="0" distL="114300" distR="114300">
                  <wp:extent cx="2308225" cy="1270000"/>
                  <wp:effectExtent l="0" t="0" r="15875" b="6350"/>
                  <wp:docPr id="11" name="图片 13" descr="10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10号口"/>
                          <pic:cNvPicPr>
                            <a:picLocks noChangeAspect="1"/>
                          </pic:cNvPicPr>
                        </pic:nvPicPr>
                        <pic:blipFill>
                          <a:blip r:embed="rId30"/>
                          <a:srcRect l="14865" r="5087"/>
                          <a:stretch>
                            <a:fillRect/>
                          </a:stretch>
                        </pic:blipFill>
                        <pic:spPr>
                          <a:xfrm>
                            <a:off x="0" y="0"/>
                            <a:ext cx="2308225" cy="1270000"/>
                          </a:xfrm>
                          <a:prstGeom prst="rect">
                            <a:avLst/>
                          </a:prstGeom>
                          <a:noFill/>
                          <a:ln>
                            <a:noFill/>
                          </a:ln>
                        </pic:spPr>
                      </pic:pic>
                    </a:graphicData>
                  </a:graphic>
                </wp:inline>
              </w:drawing>
            </w:r>
          </w:p>
        </w:tc>
      </w:tr>
      <w:tr w14:paraId="16543A78">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trHeight w:val="2063" w:hRule="atLeast"/>
          <w:jc w:val="center"/>
        </w:trPr>
        <w:tc>
          <w:tcPr>
            <w:tcW w:w="996" w:type="dxa"/>
            <w:noWrap/>
            <w:vAlign w:val="center"/>
          </w:tcPr>
          <w:p w14:paraId="3E77807C">
            <w:pPr>
              <w:jc w:val="center"/>
              <w:rPr>
                <w:rFonts w:eastAsia="方正书宋_GBK"/>
                <w:sz w:val="21"/>
                <w:szCs w:val="21"/>
              </w:rPr>
            </w:pPr>
            <w:r>
              <w:rPr>
                <w:rFonts w:eastAsia="方正书宋_GBK"/>
                <w:sz w:val="21"/>
                <w:szCs w:val="21"/>
              </w:rPr>
              <w:t>11号口</w:t>
            </w:r>
          </w:p>
        </w:tc>
        <w:tc>
          <w:tcPr>
            <w:tcW w:w="1428" w:type="dxa"/>
            <w:noWrap/>
            <w:vAlign w:val="center"/>
          </w:tcPr>
          <w:p w14:paraId="5CA49963">
            <w:pPr>
              <w:jc w:val="center"/>
              <w:rPr>
                <w:rFonts w:eastAsia="方正书宋_GBK"/>
                <w:sz w:val="21"/>
                <w:szCs w:val="21"/>
              </w:rPr>
            </w:pPr>
            <w:r>
              <w:rPr>
                <w:rFonts w:eastAsia="方正书宋_GBK"/>
                <w:sz w:val="21"/>
                <w:szCs w:val="21"/>
              </w:rPr>
              <w:t>秦淮区</w:t>
            </w:r>
          </w:p>
        </w:tc>
        <w:tc>
          <w:tcPr>
            <w:tcW w:w="2730" w:type="dxa"/>
            <w:noWrap/>
            <w:vAlign w:val="center"/>
          </w:tcPr>
          <w:p w14:paraId="3D1C5782">
            <w:pPr>
              <w:rPr>
                <w:rFonts w:eastAsia="方正书宋_GBK"/>
                <w:sz w:val="21"/>
                <w:szCs w:val="21"/>
              </w:rPr>
            </w:pPr>
            <w:r>
              <w:rPr>
                <w:rFonts w:eastAsia="方正书宋_GBK"/>
                <w:sz w:val="21"/>
                <w:szCs w:val="21"/>
              </w:rPr>
              <w:t>连接通道</w:t>
            </w:r>
          </w:p>
        </w:tc>
        <w:tc>
          <w:tcPr>
            <w:tcW w:w="3944" w:type="dxa"/>
            <w:noWrap/>
            <w:vAlign w:val="center"/>
          </w:tcPr>
          <w:p w14:paraId="7B1E3A6C">
            <w:pPr>
              <w:jc w:val="center"/>
              <w:rPr>
                <w:rFonts w:eastAsia="方正书宋_GBK"/>
                <w:sz w:val="21"/>
                <w:szCs w:val="21"/>
              </w:rPr>
            </w:pPr>
            <w:r>
              <w:rPr>
                <w:rFonts w:eastAsia="方正书宋_GBK"/>
                <w:sz w:val="21"/>
                <w:szCs w:val="21"/>
              </w:rPr>
              <w:drawing>
                <wp:inline distT="0" distB="0" distL="114300" distR="114300">
                  <wp:extent cx="2276475" cy="1245235"/>
                  <wp:effectExtent l="0" t="0" r="9525" b="12065"/>
                  <wp:docPr id="10" name="图片 14" descr="11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11号口"/>
                          <pic:cNvPicPr>
                            <a:picLocks noChangeAspect="1"/>
                          </pic:cNvPicPr>
                        </pic:nvPicPr>
                        <pic:blipFill>
                          <a:blip r:embed="rId31"/>
                          <a:srcRect r="20474"/>
                          <a:stretch>
                            <a:fillRect/>
                          </a:stretch>
                        </pic:blipFill>
                        <pic:spPr>
                          <a:xfrm>
                            <a:off x="0" y="0"/>
                            <a:ext cx="2276475" cy="1245235"/>
                          </a:xfrm>
                          <a:prstGeom prst="rect">
                            <a:avLst/>
                          </a:prstGeom>
                          <a:noFill/>
                          <a:ln>
                            <a:noFill/>
                          </a:ln>
                        </pic:spPr>
                      </pic:pic>
                    </a:graphicData>
                  </a:graphic>
                </wp:inline>
              </w:drawing>
            </w:r>
          </w:p>
        </w:tc>
      </w:tr>
      <w:tr w14:paraId="566AA52E">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trHeight w:val="2064" w:hRule="atLeast"/>
          <w:jc w:val="center"/>
        </w:trPr>
        <w:tc>
          <w:tcPr>
            <w:tcW w:w="996" w:type="dxa"/>
            <w:noWrap/>
            <w:vAlign w:val="center"/>
          </w:tcPr>
          <w:p w14:paraId="78516825">
            <w:pPr>
              <w:jc w:val="center"/>
              <w:rPr>
                <w:rFonts w:eastAsia="方正书宋_GBK"/>
                <w:sz w:val="21"/>
                <w:szCs w:val="21"/>
              </w:rPr>
            </w:pPr>
            <w:r>
              <w:rPr>
                <w:rFonts w:eastAsia="方正书宋_GBK"/>
                <w:sz w:val="21"/>
                <w:szCs w:val="21"/>
              </w:rPr>
              <w:t>12号口</w:t>
            </w:r>
          </w:p>
        </w:tc>
        <w:tc>
          <w:tcPr>
            <w:tcW w:w="1428" w:type="dxa"/>
            <w:noWrap w:val="0"/>
            <w:vAlign w:val="center"/>
          </w:tcPr>
          <w:p w14:paraId="0C3D5323">
            <w:pPr>
              <w:jc w:val="center"/>
              <w:rPr>
                <w:rFonts w:eastAsia="方正书宋_GBK"/>
                <w:sz w:val="21"/>
                <w:szCs w:val="21"/>
              </w:rPr>
            </w:pPr>
            <w:r>
              <w:rPr>
                <w:rFonts w:eastAsia="方正书宋_GBK"/>
                <w:sz w:val="21"/>
                <w:szCs w:val="21"/>
              </w:rPr>
              <w:t>秦淮区</w:t>
            </w:r>
          </w:p>
        </w:tc>
        <w:tc>
          <w:tcPr>
            <w:tcW w:w="2730" w:type="dxa"/>
            <w:noWrap/>
            <w:vAlign w:val="center"/>
          </w:tcPr>
          <w:p w14:paraId="6A9839FC">
            <w:pPr>
              <w:rPr>
                <w:rFonts w:eastAsia="方正书宋_GBK"/>
                <w:sz w:val="21"/>
                <w:szCs w:val="21"/>
              </w:rPr>
            </w:pPr>
            <w:r>
              <w:rPr>
                <w:rFonts w:eastAsia="方正书宋_GBK"/>
                <w:sz w:val="21"/>
                <w:szCs w:val="21"/>
              </w:rPr>
              <w:t>第三方通道</w:t>
            </w:r>
          </w:p>
          <w:p w14:paraId="313B8C32">
            <w:pPr>
              <w:rPr>
                <w:rFonts w:eastAsia="方正书宋_GBK"/>
                <w:sz w:val="21"/>
                <w:szCs w:val="21"/>
              </w:rPr>
            </w:pPr>
            <w:r>
              <w:rPr>
                <w:rFonts w:eastAsia="方正书宋_GBK"/>
                <w:sz w:val="21"/>
                <w:szCs w:val="21"/>
              </w:rPr>
              <w:t>通往莱迪购物广场且通往地面</w:t>
            </w:r>
          </w:p>
        </w:tc>
        <w:tc>
          <w:tcPr>
            <w:tcW w:w="3944" w:type="dxa"/>
            <w:noWrap/>
            <w:vAlign w:val="center"/>
          </w:tcPr>
          <w:p w14:paraId="22C2DF4D">
            <w:pPr>
              <w:jc w:val="center"/>
              <w:rPr>
                <w:rFonts w:eastAsia="方正书宋_GBK"/>
                <w:sz w:val="21"/>
                <w:szCs w:val="21"/>
              </w:rPr>
            </w:pPr>
            <w:r>
              <w:rPr>
                <w:rFonts w:eastAsia="方正书宋_GBK"/>
                <w:sz w:val="21"/>
                <w:szCs w:val="21"/>
              </w:rPr>
              <w:drawing>
                <wp:inline distT="0" distB="0" distL="114300" distR="114300">
                  <wp:extent cx="2279015" cy="1270000"/>
                  <wp:effectExtent l="0" t="0" r="6985" b="6350"/>
                  <wp:docPr id="9" name="图片 15" descr="12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12号口"/>
                          <pic:cNvPicPr>
                            <a:picLocks noChangeAspect="1"/>
                          </pic:cNvPicPr>
                        </pic:nvPicPr>
                        <pic:blipFill>
                          <a:blip r:embed="rId32"/>
                          <a:srcRect l="8102" r="7721"/>
                          <a:stretch>
                            <a:fillRect/>
                          </a:stretch>
                        </pic:blipFill>
                        <pic:spPr>
                          <a:xfrm>
                            <a:off x="0" y="0"/>
                            <a:ext cx="2279015" cy="1270000"/>
                          </a:xfrm>
                          <a:prstGeom prst="rect">
                            <a:avLst/>
                          </a:prstGeom>
                          <a:noFill/>
                          <a:ln>
                            <a:noFill/>
                          </a:ln>
                        </pic:spPr>
                      </pic:pic>
                    </a:graphicData>
                  </a:graphic>
                </wp:inline>
              </w:drawing>
            </w:r>
          </w:p>
        </w:tc>
      </w:tr>
      <w:tr w14:paraId="21C3BB0D">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trHeight w:val="2063" w:hRule="atLeast"/>
          <w:jc w:val="center"/>
        </w:trPr>
        <w:tc>
          <w:tcPr>
            <w:tcW w:w="996" w:type="dxa"/>
            <w:noWrap/>
            <w:vAlign w:val="center"/>
          </w:tcPr>
          <w:p w14:paraId="476E38B5">
            <w:pPr>
              <w:jc w:val="center"/>
              <w:rPr>
                <w:rFonts w:eastAsia="方正书宋_GBK"/>
                <w:sz w:val="21"/>
                <w:szCs w:val="21"/>
              </w:rPr>
            </w:pPr>
            <w:r>
              <w:rPr>
                <w:rFonts w:eastAsia="方正书宋_GBK"/>
                <w:sz w:val="21"/>
                <w:szCs w:val="21"/>
              </w:rPr>
              <w:t>13号口</w:t>
            </w:r>
          </w:p>
        </w:tc>
        <w:tc>
          <w:tcPr>
            <w:tcW w:w="1428" w:type="dxa"/>
            <w:noWrap w:val="0"/>
            <w:vAlign w:val="center"/>
          </w:tcPr>
          <w:p w14:paraId="3D590C62">
            <w:pPr>
              <w:jc w:val="center"/>
              <w:rPr>
                <w:rFonts w:eastAsia="方正书宋_GBK"/>
                <w:sz w:val="21"/>
                <w:szCs w:val="21"/>
              </w:rPr>
            </w:pPr>
            <w:r>
              <w:rPr>
                <w:rFonts w:eastAsia="方正书宋_GBK"/>
                <w:sz w:val="21"/>
                <w:szCs w:val="21"/>
              </w:rPr>
              <w:t>秦淮区</w:t>
            </w:r>
          </w:p>
        </w:tc>
        <w:tc>
          <w:tcPr>
            <w:tcW w:w="2730" w:type="dxa"/>
            <w:noWrap/>
            <w:vAlign w:val="center"/>
          </w:tcPr>
          <w:p w14:paraId="163888B6">
            <w:pPr>
              <w:rPr>
                <w:rFonts w:eastAsia="方正书宋_GBK"/>
                <w:sz w:val="21"/>
                <w:szCs w:val="21"/>
              </w:rPr>
            </w:pPr>
            <w:r>
              <w:rPr>
                <w:rFonts w:eastAsia="方正书宋_GBK"/>
                <w:sz w:val="21"/>
                <w:szCs w:val="21"/>
              </w:rPr>
              <w:t>第三方通道</w:t>
            </w:r>
          </w:p>
          <w:p w14:paraId="46134A1F">
            <w:pPr>
              <w:rPr>
                <w:rFonts w:eastAsia="方正书宋_GBK"/>
                <w:sz w:val="21"/>
                <w:szCs w:val="21"/>
              </w:rPr>
            </w:pPr>
            <w:r>
              <w:rPr>
                <w:rFonts w:eastAsia="方正书宋_GBK"/>
                <w:sz w:val="21"/>
                <w:szCs w:val="21"/>
              </w:rPr>
              <w:t>通往商茂</w:t>
            </w:r>
          </w:p>
        </w:tc>
        <w:tc>
          <w:tcPr>
            <w:tcW w:w="3944" w:type="dxa"/>
            <w:noWrap/>
            <w:vAlign w:val="center"/>
          </w:tcPr>
          <w:p w14:paraId="209342BD">
            <w:pPr>
              <w:jc w:val="center"/>
              <w:rPr>
                <w:rFonts w:eastAsia="方正书宋_GBK"/>
                <w:sz w:val="21"/>
                <w:szCs w:val="21"/>
              </w:rPr>
            </w:pPr>
            <w:r>
              <w:rPr>
                <w:rFonts w:eastAsia="方正书宋_GBK"/>
                <w:sz w:val="21"/>
                <w:szCs w:val="21"/>
              </w:rPr>
              <w:drawing>
                <wp:inline distT="0" distB="0" distL="114300" distR="114300">
                  <wp:extent cx="2285365" cy="1264920"/>
                  <wp:effectExtent l="0" t="0" r="635" b="11430"/>
                  <wp:docPr id="8" name="图片 16" descr="13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13号口"/>
                          <pic:cNvPicPr>
                            <a:picLocks noChangeAspect="1"/>
                          </pic:cNvPicPr>
                        </pic:nvPicPr>
                        <pic:blipFill>
                          <a:blip r:embed="rId33"/>
                          <a:srcRect r="14285"/>
                          <a:stretch>
                            <a:fillRect/>
                          </a:stretch>
                        </pic:blipFill>
                        <pic:spPr>
                          <a:xfrm>
                            <a:off x="0" y="0"/>
                            <a:ext cx="2285365" cy="1264920"/>
                          </a:xfrm>
                          <a:prstGeom prst="rect">
                            <a:avLst/>
                          </a:prstGeom>
                          <a:noFill/>
                          <a:ln>
                            <a:noFill/>
                          </a:ln>
                        </pic:spPr>
                      </pic:pic>
                    </a:graphicData>
                  </a:graphic>
                </wp:inline>
              </w:drawing>
            </w:r>
          </w:p>
        </w:tc>
      </w:tr>
      <w:tr w14:paraId="0D9D2AF1">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trHeight w:val="2063" w:hRule="atLeast"/>
          <w:jc w:val="center"/>
        </w:trPr>
        <w:tc>
          <w:tcPr>
            <w:tcW w:w="996" w:type="dxa"/>
            <w:noWrap/>
            <w:vAlign w:val="center"/>
          </w:tcPr>
          <w:p w14:paraId="3D1AF112">
            <w:pPr>
              <w:jc w:val="center"/>
              <w:rPr>
                <w:rFonts w:eastAsia="方正书宋_GBK"/>
                <w:sz w:val="21"/>
                <w:szCs w:val="21"/>
              </w:rPr>
            </w:pPr>
            <w:r>
              <w:rPr>
                <w:rFonts w:eastAsia="方正书宋_GBK"/>
                <w:sz w:val="21"/>
                <w:szCs w:val="21"/>
              </w:rPr>
              <w:t>14号口</w:t>
            </w:r>
          </w:p>
        </w:tc>
        <w:tc>
          <w:tcPr>
            <w:tcW w:w="1428" w:type="dxa"/>
            <w:noWrap w:val="0"/>
            <w:vAlign w:val="center"/>
          </w:tcPr>
          <w:p w14:paraId="69BB14AB">
            <w:pPr>
              <w:jc w:val="center"/>
              <w:rPr>
                <w:rFonts w:eastAsia="方正书宋_GBK"/>
                <w:sz w:val="21"/>
                <w:szCs w:val="21"/>
              </w:rPr>
            </w:pPr>
            <w:r>
              <w:rPr>
                <w:rFonts w:eastAsia="方正书宋_GBK"/>
                <w:sz w:val="21"/>
                <w:szCs w:val="21"/>
              </w:rPr>
              <w:t>秦淮区</w:t>
            </w:r>
          </w:p>
        </w:tc>
        <w:tc>
          <w:tcPr>
            <w:tcW w:w="2730" w:type="dxa"/>
            <w:noWrap/>
            <w:vAlign w:val="center"/>
          </w:tcPr>
          <w:p w14:paraId="46014F5A">
            <w:pPr>
              <w:rPr>
                <w:rFonts w:eastAsia="方正书宋_GBK"/>
                <w:sz w:val="21"/>
                <w:szCs w:val="21"/>
              </w:rPr>
            </w:pPr>
            <w:r>
              <w:rPr>
                <w:rFonts w:eastAsia="方正书宋_GBK"/>
                <w:sz w:val="21"/>
                <w:szCs w:val="21"/>
              </w:rPr>
              <w:t>第三方通道</w:t>
            </w:r>
          </w:p>
          <w:p w14:paraId="5AF6D308">
            <w:pPr>
              <w:rPr>
                <w:rFonts w:eastAsia="方正书宋_GBK"/>
                <w:sz w:val="21"/>
                <w:szCs w:val="21"/>
              </w:rPr>
            </w:pPr>
            <w:r>
              <w:rPr>
                <w:rFonts w:eastAsia="方正书宋_GBK"/>
                <w:sz w:val="21"/>
                <w:szCs w:val="21"/>
              </w:rPr>
              <w:t>通往中央商场且通往地面</w:t>
            </w:r>
          </w:p>
        </w:tc>
        <w:tc>
          <w:tcPr>
            <w:tcW w:w="3944" w:type="dxa"/>
            <w:noWrap/>
            <w:vAlign w:val="center"/>
          </w:tcPr>
          <w:p w14:paraId="730CEC72">
            <w:pPr>
              <w:jc w:val="center"/>
              <w:rPr>
                <w:rFonts w:eastAsia="方正书宋_GBK"/>
                <w:sz w:val="21"/>
                <w:szCs w:val="21"/>
              </w:rPr>
            </w:pPr>
            <w:r>
              <w:rPr>
                <w:rFonts w:eastAsia="方正书宋_GBK"/>
                <w:sz w:val="21"/>
                <w:szCs w:val="21"/>
              </w:rPr>
              <w:drawing>
                <wp:inline distT="0" distB="0" distL="114300" distR="114300">
                  <wp:extent cx="2293620" cy="1274445"/>
                  <wp:effectExtent l="0" t="0" r="11430" b="1905"/>
                  <wp:docPr id="7" name="图片 17" descr="14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14号口"/>
                          <pic:cNvPicPr>
                            <a:picLocks noChangeAspect="1"/>
                          </pic:cNvPicPr>
                        </pic:nvPicPr>
                        <pic:blipFill>
                          <a:blip r:embed="rId34"/>
                          <a:stretch>
                            <a:fillRect/>
                          </a:stretch>
                        </pic:blipFill>
                        <pic:spPr>
                          <a:xfrm>
                            <a:off x="0" y="0"/>
                            <a:ext cx="2293620" cy="1274445"/>
                          </a:xfrm>
                          <a:prstGeom prst="rect">
                            <a:avLst/>
                          </a:prstGeom>
                          <a:noFill/>
                          <a:ln>
                            <a:noFill/>
                          </a:ln>
                        </pic:spPr>
                      </pic:pic>
                    </a:graphicData>
                  </a:graphic>
                </wp:inline>
              </w:drawing>
            </w:r>
          </w:p>
        </w:tc>
      </w:tr>
      <w:tr w14:paraId="4A3CE1BB">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trHeight w:val="2064" w:hRule="atLeast"/>
          <w:jc w:val="center"/>
        </w:trPr>
        <w:tc>
          <w:tcPr>
            <w:tcW w:w="996" w:type="dxa"/>
            <w:noWrap/>
            <w:vAlign w:val="center"/>
          </w:tcPr>
          <w:p w14:paraId="364FBCE2">
            <w:pPr>
              <w:jc w:val="center"/>
              <w:rPr>
                <w:rFonts w:eastAsia="方正书宋_GBK"/>
                <w:sz w:val="21"/>
                <w:szCs w:val="21"/>
              </w:rPr>
            </w:pPr>
            <w:r>
              <w:rPr>
                <w:rFonts w:eastAsia="方正书宋_GBK"/>
                <w:sz w:val="21"/>
                <w:szCs w:val="21"/>
              </w:rPr>
              <w:t>15号口</w:t>
            </w:r>
          </w:p>
        </w:tc>
        <w:tc>
          <w:tcPr>
            <w:tcW w:w="1428" w:type="dxa"/>
            <w:noWrap w:val="0"/>
            <w:vAlign w:val="center"/>
          </w:tcPr>
          <w:p w14:paraId="64E1FB9B">
            <w:pPr>
              <w:jc w:val="center"/>
              <w:rPr>
                <w:rFonts w:eastAsia="方正书宋_GBK"/>
                <w:sz w:val="21"/>
                <w:szCs w:val="21"/>
              </w:rPr>
            </w:pPr>
            <w:r>
              <w:rPr>
                <w:rFonts w:eastAsia="方正书宋_GBK"/>
                <w:sz w:val="21"/>
                <w:szCs w:val="21"/>
              </w:rPr>
              <w:t>秦淮区</w:t>
            </w:r>
          </w:p>
        </w:tc>
        <w:tc>
          <w:tcPr>
            <w:tcW w:w="2730" w:type="dxa"/>
            <w:noWrap/>
            <w:vAlign w:val="center"/>
          </w:tcPr>
          <w:p w14:paraId="28498C3B">
            <w:pPr>
              <w:rPr>
                <w:rFonts w:eastAsia="方正书宋_GBK"/>
                <w:sz w:val="21"/>
                <w:szCs w:val="21"/>
              </w:rPr>
            </w:pPr>
            <w:r>
              <w:rPr>
                <w:rFonts w:eastAsia="方正书宋_GBK"/>
                <w:sz w:val="21"/>
                <w:szCs w:val="21"/>
              </w:rPr>
              <w:t>第三方通道</w:t>
            </w:r>
          </w:p>
          <w:p w14:paraId="0E9CF16B">
            <w:pPr>
              <w:rPr>
                <w:rFonts w:eastAsia="方正书宋_GBK"/>
                <w:sz w:val="21"/>
                <w:szCs w:val="21"/>
              </w:rPr>
            </w:pPr>
            <w:r>
              <w:rPr>
                <w:rFonts w:eastAsia="方正书宋_GBK"/>
                <w:sz w:val="21"/>
                <w:szCs w:val="21"/>
              </w:rPr>
              <w:t>通往大洋百货</w:t>
            </w:r>
          </w:p>
        </w:tc>
        <w:tc>
          <w:tcPr>
            <w:tcW w:w="3944" w:type="dxa"/>
            <w:noWrap/>
            <w:vAlign w:val="center"/>
          </w:tcPr>
          <w:p w14:paraId="38A189DC">
            <w:pPr>
              <w:jc w:val="center"/>
              <w:rPr>
                <w:rFonts w:eastAsia="方正书宋_GBK"/>
                <w:sz w:val="21"/>
                <w:szCs w:val="21"/>
              </w:rPr>
            </w:pPr>
            <w:r>
              <w:rPr>
                <w:rFonts w:eastAsia="方正书宋_GBK"/>
                <w:sz w:val="21"/>
                <w:szCs w:val="21"/>
              </w:rPr>
              <w:drawing>
                <wp:inline distT="0" distB="0" distL="114300" distR="114300">
                  <wp:extent cx="2263775" cy="1235710"/>
                  <wp:effectExtent l="0" t="0" r="3175" b="2540"/>
                  <wp:docPr id="6" name="图片 18" descr="15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15号口"/>
                          <pic:cNvPicPr>
                            <a:picLocks noChangeAspect="1"/>
                          </pic:cNvPicPr>
                        </pic:nvPicPr>
                        <pic:blipFill>
                          <a:blip r:embed="rId35"/>
                          <a:srcRect l="8922"/>
                          <a:stretch>
                            <a:fillRect/>
                          </a:stretch>
                        </pic:blipFill>
                        <pic:spPr>
                          <a:xfrm>
                            <a:off x="0" y="0"/>
                            <a:ext cx="2263775" cy="1235710"/>
                          </a:xfrm>
                          <a:prstGeom prst="rect">
                            <a:avLst/>
                          </a:prstGeom>
                          <a:noFill/>
                          <a:ln>
                            <a:noFill/>
                          </a:ln>
                        </pic:spPr>
                      </pic:pic>
                    </a:graphicData>
                  </a:graphic>
                </wp:inline>
              </w:drawing>
            </w:r>
          </w:p>
        </w:tc>
      </w:tr>
      <w:tr w14:paraId="22EE0074">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trHeight w:val="2063" w:hRule="atLeast"/>
          <w:jc w:val="center"/>
        </w:trPr>
        <w:tc>
          <w:tcPr>
            <w:tcW w:w="996" w:type="dxa"/>
            <w:noWrap/>
            <w:vAlign w:val="center"/>
          </w:tcPr>
          <w:p w14:paraId="6784263C">
            <w:pPr>
              <w:jc w:val="center"/>
              <w:rPr>
                <w:rFonts w:eastAsia="方正书宋_GBK"/>
                <w:sz w:val="21"/>
                <w:szCs w:val="21"/>
              </w:rPr>
            </w:pPr>
            <w:r>
              <w:rPr>
                <w:rFonts w:eastAsia="方正书宋_GBK"/>
                <w:sz w:val="21"/>
                <w:szCs w:val="21"/>
              </w:rPr>
              <w:t>16号口</w:t>
            </w:r>
          </w:p>
        </w:tc>
        <w:tc>
          <w:tcPr>
            <w:tcW w:w="1428" w:type="dxa"/>
            <w:noWrap w:val="0"/>
            <w:vAlign w:val="center"/>
          </w:tcPr>
          <w:p w14:paraId="05DE8930">
            <w:pPr>
              <w:jc w:val="center"/>
              <w:rPr>
                <w:rFonts w:eastAsia="方正书宋_GBK"/>
                <w:sz w:val="21"/>
                <w:szCs w:val="21"/>
              </w:rPr>
            </w:pPr>
            <w:r>
              <w:rPr>
                <w:rFonts w:eastAsia="方正书宋_GBK"/>
                <w:sz w:val="21"/>
                <w:szCs w:val="21"/>
              </w:rPr>
              <w:t>秦淮区</w:t>
            </w:r>
          </w:p>
        </w:tc>
        <w:tc>
          <w:tcPr>
            <w:tcW w:w="2730" w:type="dxa"/>
            <w:noWrap/>
            <w:vAlign w:val="center"/>
          </w:tcPr>
          <w:p w14:paraId="7380B74B">
            <w:pPr>
              <w:rPr>
                <w:rFonts w:eastAsia="方正书宋_GBK"/>
                <w:sz w:val="21"/>
                <w:szCs w:val="21"/>
              </w:rPr>
            </w:pPr>
            <w:r>
              <w:rPr>
                <w:rFonts w:eastAsia="方正书宋_GBK"/>
                <w:sz w:val="21"/>
                <w:szCs w:val="21"/>
              </w:rPr>
              <w:t>第三方通道</w:t>
            </w:r>
          </w:p>
          <w:p w14:paraId="3E7891D6">
            <w:pPr>
              <w:rPr>
                <w:rFonts w:eastAsia="方正书宋_GBK"/>
                <w:sz w:val="21"/>
                <w:szCs w:val="21"/>
              </w:rPr>
            </w:pPr>
            <w:r>
              <w:rPr>
                <w:rFonts w:eastAsia="方正书宋_GBK"/>
                <w:sz w:val="21"/>
                <w:szCs w:val="21"/>
              </w:rPr>
              <w:t>通往国际金融中心</w:t>
            </w:r>
          </w:p>
        </w:tc>
        <w:tc>
          <w:tcPr>
            <w:tcW w:w="3944" w:type="dxa"/>
            <w:noWrap/>
            <w:vAlign w:val="center"/>
          </w:tcPr>
          <w:p w14:paraId="51319192">
            <w:pPr>
              <w:jc w:val="center"/>
              <w:rPr>
                <w:rFonts w:eastAsia="方正书宋_GBK"/>
                <w:sz w:val="21"/>
                <w:szCs w:val="21"/>
              </w:rPr>
            </w:pPr>
            <w:r>
              <w:rPr>
                <w:rFonts w:eastAsia="方正书宋_GBK"/>
                <w:sz w:val="21"/>
                <w:szCs w:val="21"/>
              </w:rPr>
              <w:drawing>
                <wp:inline distT="0" distB="0" distL="114300" distR="114300">
                  <wp:extent cx="2272665" cy="1275080"/>
                  <wp:effectExtent l="0" t="0" r="13335" b="1270"/>
                  <wp:docPr id="5" name="图片 19" descr="16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16号口"/>
                          <pic:cNvPicPr>
                            <a:picLocks noChangeAspect="1"/>
                          </pic:cNvPicPr>
                        </pic:nvPicPr>
                        <pic:blipFill>
                          <a:blip r:embed="rId36"/>
                          <a:srcRect l="3397" r="6816"/>
                          <a:stretch>
                            <a:fillRect/>
                          </a:stretch>
                        </pic:blipFill>
                        <pic:spPr>
                          <a:xfrm>
                            <a:off x="0" y="0"/>
                            <a:ext cx="2272665" cy="1275080"/>
                          </a:xfrm>
                          <a:prstGeom prst="rect">
                            <a:avLst/>
                          </a:prstGeom>
                          <a:noFill/>
                          <a:ln>
                            <a:noFill/>
                          </a:ln>
                        </pic:spPr>
                      </pic:pic>
                    </a:graphicData>
                  </a:graphic>
                </wp:inline>
              </w:drawing>
            </w:r>
          </w:p>
        </w:tc>
      </w:tr>
      <w:tr w14:paraId="546FEBF6">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trHeight w:val="2063" w:hRule="atLeast"/>
          <w:jc w:val="center"/>
        </w:trPr>
        <w:tc>
          <w:tcPr>
            <w:tcW w:w="996" w:type="dxa"/>
            <w:noWrap/>
            <w:vAlign w:val="center"/>
          </w:tcPr>
          <w:p w14:paraId="7C2C4A6D">
            <w:pPr>
              <w:jc w:val="center"/>
              <w:rPr>
                <w:rFonts w:eastAsia="方正书宋_GBK"/>
                <w:sz w:val="21"/>
                <w:szCs w:val="21"/>
              </w:rPr>
            </w:pPr>
            <w:r>
              <w:rPr>
                <w:rFonts w:eastAsia="方正书宋_GBK"/>
                <w:sz w:val="21"/>
                <w:szCs w:val="21"/>
              </w:rPr>
              <w:t>20号口</w:t>
            </w:r>
          </w:p>
        </w:tc>
        <w:tc>
          <w:tcPr>
            <w:tcW w:w="1428" w:type="dxa"/>
            <w:noWrap w:val="0"/>
            <w:vAlign w:val="center"/>
          </w:tcPr>
          <w:p w14:paraId="3A8B5467">
            <w:pPr>
              <w:jc w:val="center"/>
              <w:rPr>
                <w:rFonts w:eastAsia="方正书宋_GBK"/>
                <w:sz w:val="21"/>
                <w:szCs w:val="21"/>
              </w:rPr>
            </w:pPr>
            <w:r>
              <w:rPr>
                <w:rFonts w:eastAsia="方正书宋_GBK"/>
                <w:sz w:val="21"/>
                <w:szCs w:val="21"/>
              </w:rPr>
              <w:t>秦淮区</w:t>
            </w:r>
          </w:p>
        </w:tc>
        <w:tc>
          <w:tcPr>
            <w:tcW w:w="2730" w:type="dxa"/>
            <w:noWrap/>
            <w:vAlign w:val="center"/>
          </w:tcPr>
          <w:p w14:paraId="77B14CED">
            <w:pPr>
              <w:rPr>
                <w:rFonts w:eastAsia="方正书宋_GBK"/>
                <w:sz w:val="21"/>
                <w:szCs w:val="21"/>
              </w:rPr>
            </w:pPr>
            <w:r>
              <w:rPr>
                <w:rFonts w:eastAsia="方正书宋_GBK"/>
                <w:sz w:val="21"/>
                <w:szCs w:val="21"/>
              </w:rPr>
              <w:t>第三方通道</w:t>
            </w:r>
          </w:p>
          <w:p w14:paraId="5972799B">
            <w:pPr>
              <w:rPr>
                <w:rFonts w:eastAsia="方正书宋_GBK"/>
                <w:sz w:val="21"/>
                <w:szCs w:val="21"/>
              </w:rPr>
            </w:pPr>
            <w:r>
              <w:rPr>
                <w:rFonts w:eastAsia="方正书宋_GBK"/>
                <w:sz w:val="21"/>
                <w:szCs w:val="21"/>
              </w:rPr>
              <w:t>通往金鹰过街通道</w:t>
            </w:r>
          </w:p>
        </w:tc>
        <w:tc>
          <w:tcPr>
            <w:tcW w:w="3944" w:type="dxa"/>
            <w:noWrap/>
            <w:vAlign w:val="center"/>
          </w:tcPr>
          <w:p w14:paraId="0B1919C8">
            <w:pPr>
              <w:jc w:val="center"/>
              <w:rPr>
                <w:rFonts w:eastAsia="方正书宋_GBK"/>
                <w:sz w:val="21"/>
                <w:szCs w:val="21"/>
              </w:rPr>
            </w:pPr>
            <w:r>
              <w:rPr>
                <w:rFonts w:eastAsia="方正书宋_GBK"/>
                <w:sz w:val="21"/>
                <w:szCs w:val="21"/>
              </w:rPr>
              <w:drawing>
                <wp:inline distT="0" distB="0" distL="114300" distR="114300">
                  <wp:extent cx="2301240" cy="1245235"/>
                  <wp:effectExtent l="0" t="0" r="3810" b="12065"/>
                  <wp:docPr id="4" name="图片 20" descr="20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20号口"/>
                          <pic:cNvPicPr>
                            <a:picLocks noChangeAspect="1"/>
                          </pic:cNvPicPr>
                        </pic:nvPicPr>
                        <pic:blipFill>
                          <a:blip r:embed="rId37"/>
                          <a:srcRect l="7230" r="18607"/>
                          <a:stretch>
                            <a:fillRect/>
                          </a:stretch>
                        </pic:blipFill>
                        <pic:spPr>
                          <a:xfrm>
                            <a:off x="0" y="0"/>
                            <a:ext cx="2301240" cy="1245235"/>
                          </a:xfrm>
                          <a:prstGeom prst="rect">
                            <a:avLst/>
                          </a:prstGeom>
                          <a:noFill/>
                          <a:ln>
                            <a:noFill/>
                          </a:ln>
                        </pic:spPr>
                      </pic:pic>
                    </a:graphicData>
                  </a:graphic>
                </wp:inline>
              </w:drawing>
            </w:r>
          </w:p>
        </w:tc>
      </w:tr>
      <w:tr w14:paraId="2A075E82">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trHeight w:val="2064" w:hRule="atLeast"/>
          <w:jc w:val="center"/>
        </w:trPr>
        <w:tc>
          <w:tcPr>
            <w:tcW w:w="996" w:type="dxa"/>
            <w:noWrap/>
            <w:vAlign w:val="center"/>
          </w:tcPr>
          <w:p w14:paraId="0147E443">
            <w:pPr>
              <w:jc w:val="center"/>
              <w:rPr>
                <w:rFonts w:eastAsia="方正书宋_GBK"/>
                <w:sz w:val="21"/>
                <w:szCs w:val="21"/>
              </w:rPr>
            </w:pPr>
            <w:r>
              <w:rPr>
                <w:rFonts w:eastAsia="方正书宋_GBK"/>
                <w:sz w:val="21"/>
                <w:szCs w:val="21"/>
              </w:rPr>
              <w:t>21号口</w:t>
            </w:r>
          </w:p>
        </w:tc>
        <w:tc>
          <w:tcPr>
            <w:tcW w:w="1428" w:type="dxa"/>
            <w:noWrap w:val="0"/>
            <w:vAlign w:val="center"/>
          </w:tcPr>
          <w:p w14:paraId="7BFB2D88">
            <w:pPr>
              <w:jc w:val="center"/>
              <w:rPr>
                <w:rFonts w:eastAsia="方正书宋_GBK"/>
                <w:sz w:val="21"/>
                <w:szCs w:val="21"/>
              </w:rPr>
            </w:pPr>
            <w:r>
              <w:rPr>
                <w:rFonts w:eastAsia="方正书宋_GBK"/>
                <w:sz w:val="21"/>
                <w:szCs w:val="21"/>
              </w:rPr>
              <w:t>秦淮区</w:t>
            </w:r>
          </w:p>
        </w:tc>
        <w:tc>
          <w:tcPr>
            <w:tcW w:w="2730" w:type="dxa"/>
            <w:noWrap/>
            <w:vAlign w:val="center"/>
          </w:tcPr>
          <w:p w14:paraId="4EA1DA13">
            <w:pPr>
              <w:rPr>
                <w:rFonts w:eastAsia="方正书宋_GBK"/>
                <w:sz w:val="21"/>
                <w:szCs w:val="21"/>
              </w:rPr>
            </w:pPr>
            <w:r>
              <w:rPr>
                <w:rFonts w:eastAsia="方正书宋_GBK"/>
                <w:sz w:val="21"/>
                <w:szCs w:val="21"/>
              </w:rPr>
              <w:t>第三方通道</w:t>
            </w:r>
          </w:p>
          <w:p w14:paraId="6E5304CA">
            <w:pPr>
              <w:rPr>
                <w:rFonts w:eastAsia="方正书宋_GBK"/>
                <w:sz w:val="21"/>
                <w:szCs w:val="21"/>
              </w:rPr>
            </w:pPr>
            <w:r>
              <w:rPr>
                <w:rFonts w:eastAsia="方正书宋_GBK"/>
                <w:sz w:val="21"/>
                <w:szCs w:val="21"/>
              </w:rPr>
              <w:t>通往友谊广场</w:t>
            </w:r>
          </w:p>
        </w:tc>
        <w:tc>
          <w:tcPr>
            <w:tcW w:w="3944" w:type="dxa"/>
            <w:noWrap/>
            <w:vAlign w:val="center"/>
          </w:tcPr>
          <w:p w14:paraId="106E3A72">
            <w:pPr>
              <w:jc w:val="center"/>
              <w:rPr>
                <w:rFonts w:eastAsia="方正书宋_GBK"/>
                <w:sz w:val="21"/>
                <w:szCs w:val="21"/>
              </w:rPr>
            </w:pPr>
            <w:r>
              <w:rPr>
                <w:rFonts w:eastAsia="方正书宋_GBK"/>
                <w:sz w:val="21"/>
                <w:szCs w:val="21"/>
              </w:rPr>
              <w:drawing>
                <wp:inline distT="0" distB="0" distL="114300" distR="114300">
                  <wp:extent cx="2297430" cy="1220470"/>
                  <wp:effectExtent l="0" t="0" r="7620" b="17780"/>
                  <wp:docPr id="3" name="图片 21" descr="21号口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21号口内"/>
                          <pic:cNvPicPr>
                            <a:picLocks noChangeAspect="1"/>
                          </pic:cNvPicPr>
                        </pic:nvPicPr>
                        <pic:blipFill>
                          <a:blip r:embed="rId38"/>
                          <a:srcRect r="14265"/>
                          <a:stretch>
                            <a:fillRect/>
                          </a:stretch>
                        </pic:blipFill>
                        <pic:spPr>
                          <a:xfrm>
                            <a:off x="0" y="0"/>
                            <a:ext cx="2297430" cy="1220470"/>
                          </a:xfrm>
                          <a:prstGeom prst="rect">
                            <a:avLst/>
                          </a:prstGeom>
                          <a:noFill/>
                          <a:ln>
                            <a:noFill/>
                          </a:ln>
                        </pic:spPr>
                      </pic:pic>
                    </a:graphicData>
                  </a:graphic>
                </wp:inline>
              </w:drawing>
            </w:r>
          </w:p>
        </w:tc>
      </w:tr>
      <w:tr w14:paraId="6A56EA18">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96" w:type="dxa"/>
            <w:noWrap/>
            <w:vAlign w:val="center"/>
          </w:tcPr>
          <w:p w14:paraId="7F541C8F">
            <w:pPr>
              <w:jc w:val="center"/>
              <w:rPr>
                <w:rFonts w:eastAsia="方正书宋_GBK"/>
                <w:sz w:val="21"/>
                <w:szCs w:val="21"/>
              </w:rPr>
            </w:pPr>
            <w:r>
              <w:rPr>
                <w:rFonts w:eastAsia="方正书宋_GBK"/>
                <w:sz w:val="21"/>
                <w:szCs w:val="21"/>
              </w:rPr>
              <w:t>22号口</w:t>
            </w:r>
          </w:p>
        </w:tc>
        <w:tc>
          <w:tcPr>
            <w:tcW w:w="1428" w:type="dxa"/>
            <w:noWrap w:val="0"/>
            <w:vAlign w:val="center"/>
          </w:tcPr>
          <w:p w14:paraId="1C2B0CC4">
            <w:pPr>
              <w:jc w:val="center"/>
              <w:rPr>
                <w:rFonts w:eastAsia="方正书宋_GBK"/>
                <w:sz w:val="21"/>
                <w:szCs w:val="21"/>
              </w:rPr>
            </w:pPr>
            <w:r>
              <w:rPr>
                <w:rFonts w:eastAsia="方正书宋_GBK"/>
                <w:sz w:val="21"/>
                <w:szCs w:val="21"/>
              </w:rPr>
              <w:t>秦淮区</w:t>
            </w:r>
          </w:p>
        </w:tc>
        <w:tc>
          <w:tcPr>
            <w:tcW w:w="2730" w:type="dxa"/>
            <w:noWrap/>
            <w:vAlign w:val="center"/>
          </w:tcPr>
          <w:p w14:paraId="0ADC2DA5">
            <w:pPr>
              <w:rPr>
                <w:rFonts w:eastAsia="方正书宋_GBK"/>
                <w:sz w:val="21"/>
                <w:szCs w:val="21"/>
              </w:rPr>
            </w:pPr>
            <w:r>
              <w:rPr>
                <w:rFonts w:eastAsia="方正书宋_GBK"/>
                <w:sz w:val="21"/>
                <w:szCs w:val="21"/>
              </w:rPr>
              <w:t>第三方通道</w:t>
            </w:r>
          </w:p>
          <w:p w14:paraId="2FB4EE49">
            <w:pPr>
              <w:rPr>
                <w:rFonts w:eastAsia="方正书宋_GBK"/>
                <w:sz w:val="21"/>
                <w:szCs w:val="21"/>
              </w:rPr>
            </w:pPr>
            <w:r>
              <w:rPr>
                <w:rFonts w:eastAsia="方正书宋_GBK"/>
                <w:sz w:val="21"/>
                <w:szCs w:val="21"/>
              </w:rPr>
              <w:t>通往新百</w:t>
            </w:r>
          </w:p>
        </w:tc>
        <w:tc>
          <w:tcPr>
            <w:tcW w:w="3944" w:type="dxa"/>
            <w:noWrap/>
            <w:vAlign w:val="center"/>
          </w:tcPr>
          <w:p w14:paraId="1CBFA53D">
            <w:pPr>
              <w:jc w:val="center"/>
              <w:rPr>
                <w:rFonts w:eastAsia="方正书宋_GBK"/>
                <w:sz w:val="21"/>
                <w:szCs w:val="21"/>
              </w:rPr>
            </w:pPr>
            <w:r>
              <w:rPr>
                <w:rFonts w:eastAsia="方正书宋_GBK"/>
                <w:sz w:val="21"/>
                <w:szCs w:val="21"/>
              </w:rPr>
              <w:drawing>
                <wp:inline distT="0" distB="0" distL="114300" distR="114300">
                  <wp:extent cx="2291715" cy="1250315"/>
                  <wp:effectExtent l="0" t="0" r="13335" b="6985"/>
                  <wp:docPr id="2" name="图片 22" descr="22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22号口"/>
                          <pic:cNvPicPr>
                            <a:picLocks noChangeAspect="1"/>
                          </pic:cNvPicPr>
                        </pic:nvPicPr>
                        <pic:blipFill>
                          <a:blip r:embed="rId39"/>
                          <a:srcRect l="8665" r="9995"/>
                          <a:stretch>
                            <a:fillRect/>
                          </a:stretch>
                        </pic:blipFill>
                        <pic:spPr>
                          <a:xfrm>
                            <a:off x="0" y="0"/>
                            <a:ext cx="2291715" cy="1250315"/>
                          </a:xfrm>
                          <a:prstGeom prst="rect">
                            <a:avLst/>
                          </a:prstGeom>
                          <a:noFill/>
                          <a:ln>
                            <a:noFill/>
                          </a:ln>
                        </pic:spPr>
                      </pic:pic>
                    </a:graphicData>
                  </a:graphic>
                </wp:inline>
              </w:drawing>
            </w:r>
          </w:p>
        </w:tc>
      </w:tr>
      <w:tr w14:paraId="176DD23F">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96" w:type="dxa"/>
            <w:noWrap/>
            <w:vAlign w:val="center"/>
          </w:tcPr>
          <w:p w14:paraId="03CA9A3F">
            <w:pPr>
              <w:jc w:val="center"/>
              <w:rPr>
                <w:rFonts w:eastAsia="方正书宋_GBK"/>
                <w:sz w:val="21"/>
                <w:szCs w:val="21"/>
              </w:rPr>
            </w:pPr>
            <w:r>
              <w:rPr>
                <w:rFonts w:eastAsia="方正书宋_GBK"/>
                <w:sz w:val="21"/>
                <w:szCs w:val="21"/>
              </w:rPr>
              <w:t>24号口</w:t>
            </w:r>
          </w:p>
        </w:tc>
        <w:tc>
          <w:tcPr>
            <w:tcW w:w="1428" w:type="dxa"/>
            <w:noWrap/>
            <w:vAlign w:val="center"/>
          </w:tcPr>
          <w:p w14:paraId="03B2B0C9">
            <w:pPr>
              <w:jc w:val="center"/>
              <w:rPr>
                <w:rFonts w:eastAsia="方正书宋_GBK"/>
                <w:sz w:val="21"/>
                <w:szCs w:val="21"/>
              </w:rPr>
            </w:pPr>
            <w:r>
              <w:rPr>
                <w:rFonts w:eastAsia="方正书宋_GBK"/>
                <w:sz w:val="21"/>
                <w:szCs w:val="21"/>
              </w:rPr>
              <w:t>秦淮区</w:t>
            </w:r>
          </w:p>
        </w:tc>
        <w:tc>
          <w:tcPr>
            <w:tcW w:w="2730" w:type="dxa"/>
            <w:noWrap/>
            <w:vAlign w:val="center"/>
          </w:tcPr>
          <w:p w14:paraId="7F306387">
            <w:pPr>
              <w:rPr>
                <w:rFonts w:eastAsia="方正书宋_GBK"/>
                <w:sz w:val="21"/>
                <w:szCs w:val="21"/>
              </w:rPr>
            </w:pPr>
            <w:r>
              <w:rPr>
                <w:rFonts w:eastAsia="方正书宋_GBK"/>
                <w:sz w:val="21"/>
                <w:szCs w:val="21"/>
              </w:rPr>
              <w:t>地面出口</w:t>
            </w:r>
          </w:p>
        </w:tc>
        <w:tc>
          <w:tcPr>
            <w:tcW w:w="3944" w:type="dxa"/>
            <w:noWrap/>
            <w:vAlign w:val="center"/>
          </w:tcPr>
          <w:p w14:paraId="6A8A5AE4">
            <w:pPr>
              <w:jc w:val="center"/>
              <w:rPr>
                <w:rFonts w:eastAsia="方正书宋_GBK"/>
                <w:sz w:val="21"/>
                <w:szCs w:val="21"/>
              </w:rPr>
            </w:pPr>
            <w:r>
              <w:rPr>
                <w:rFonts w:eastAsia="方正书宋_GBK"/>
                <w:sz w:val="21"/>
                <w:szCs w:val="21"/>
              </w:rPr>
              <w:drawing>
                <wp:inline distT="0" distB="0" distL="114300" distR="114300">
                  <wp:extent cx="2267585" cy="1270000"/>
                  <wp:effectExtent l="0" t="0" r="18415" b="6350"/>
                  <wp:docPr id="1" name="图片 23" descr="24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descr="24号口"/>
                          <pic:cNvPicPr>
                            <a:picLocks noChangeAspect="1"/>
                          </pic:cNvPicPr>
                        </pic:nvPicPr>
                        <pic:blipFill>
                          <a:blip r:embed="rId40"/>
                          <a:srcRect l="9824" r="3423"/>
                          <a:stretch>
                            <a:fillRect/>
                          </a:stretch>
                        </pic:blipFill>
                        <pic:spPr>
                          <a:xfrm>
                            <a:off x="0" y="0"/>
                            <a:ext cx="2267585" cy="1270000"/>
                          </a:xfrm>
                          <a:prstGeom prst="rect">
                            <a:avLst/>
                          </a:prstGeom>
                          <a:noFill/>
                          <a:ln>
                            <a:noFill/>
                          </a:ln>
                        </pic:spPr>
                      </pic:pic>
                    </a:graphicData>
                  </a:graphic>
                </wp:inline>
              </w:drawing>
            </w:r>
          </w:p>
        </w:tc>
      </w:tr>
    </w:tbl>
    <w:p w14:paraId="28C8FFE4">
      <w:pPr>
        <w:spacing w:line="300" w:lineRule="auto"/>
        <w:ind w:firstLine="360" w:firstLineChars="200"/>
        <w:rPr>
          <w:rFonts w:hint="eastAsia" w:eastAsia="方正仿宋_GBK"/>
          <w:sz w:val="18"/>
          <w:szCs w:val="18"/>
        </w:rPr>
      </w:pPr>
    </w:p>
    <w:p w14:paraId="778C3275">
      <w:pPr>
        <w:spacing w:line="300" w:lineRule="auto"/>
        <w:ind w:firstLine="640" w:firstLineChars="200"/>
        <w:rPr>
          <w:rFonts w:hint="eastAsia" w:eastAsia="方正仿宋_GBK"/>
          <w:sz w:val="32"/>
          <w:szCs w:val="32"/>
        </w:rPr>
      </w:pPr>
      <w:bookmarkStart w:id="213" w:name="_Toc210837139"/>
      <w:r>
        <w:rPr>
          <w:rFonts w:hint="eastAsia" w:eastAsia="方正仿宋_GBK"/>
          <w:sz w:val="32"/>
          <w:szCs w:val="32"/>
        </w:rPr>
        <w:t>9.5  常见应急救援单位联系方式</w:t>
      </w:r>
      <w:bookmarkEnd w:id="213"/>
    </w:p>
    <w:tbl>
      <w:tblPr>
        <w:tblStyle w:val="5"/>
        <w:tblW w:w="0" w:type="auto"/>
        <w:tblInd w:w="-15"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5207"/>
        <w:gridCol w:w="2848"/>
      </w:tblGrid>
      <w:tr w14:paraId="2B473E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907" w:type="dxa"/>
            <w:noWrap w:val="0"/>
            <w:vAlign w:val="center"/>
          </w:tcPr>
          <w:p w14:paraId="6F4BFCA8">
            <w:pPr>
              <w:jc w:val="center"/>
              <w:rPr>
                <w:rFonts w:eastAsia="方正书宋_GBK"/>
                <w:sz w:val="24"/>
                <w:szCs w:val="24"/>
              </w:rPr>
            </w:pPr>
            <w:r>
              <w:rPr>
                <w:rFonts w:eastAsia="方正书宋_GBK"/>
                <w:sz w:val="24"/>
                <w:szCs w:val="24"/>
              </w:rPr>
              <w:t>序号</w:t>
            </w:r>
          </w:p>
        </w:tc>
        <w:tc>
          <w:tcPr>
            <w:tcW w:w="5207" w:type="dxa"/>
            <w:noWrap w:val="0"/>
            <w:vAlign w:val="center"/>
          </w:tcPr>
          <w:p w14:paraId="0F759FEE">
            <w:pPr>
              <w:jc w:val="center"/>
              <w:rPr>
                <w:rFonts w:eastAsia="方正书宋_GBK"/>
                <w:sz w:val="24"/>
                <w:szCs w:val="24"/>
              </w:rPr>
            </w:pPr>
            <w:r>
              <w:rPr>
                <w:rFonts w:eastAsia="方正书宋_GBK"/>
                <w:sz w:val="24"/>
                <w:szCs w:val="24"/>
              </w:rPr>
              <w:t>单位</w:t>
            </w:r>
          </w:p>
        </w:tc>
        <w:tc>
          <w:tcPr>
            <w:tcW w:w="2848" w:type="dxa"/>
            <w:noWrap w:val="0"/>
            <w:vAlign w:val="center"/>
          </w:tcPr>
          <w:p w14:paraId="3708E4B5">
            <w:pPr>
              <w:jc w:val="center"/>
              <w:rPr>
                <w:rFonts w:eastAsia="方正书宋_GBK"/>
                <w:sz w:val="24"/>
                <w:szCs w:val="24"/>
              </w:rPr>
            </w:pPr>
            <w:r>
              <w:rPr>
                <w:rFonts w:eastAsia="方正书宋_GBK"/>
                <w:sz w:val="24"/>
                <w:szCs w:val="24"/>
              </w:rPr>
              <w:t>联系方式</w:t>
            </w:r>
          </w:p>
        </w:tc>
      </w:tr>
      <w:tr w14:paraId="2F490C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453D0C8B">
            <w:pPr>
              <w:jc w:val="center"/>
              <w:rPr>
                <w:rFonts w:hint="eastAsia" w:eastAsia="方正书宋_GBK"/>
                <w:sz w:val="24"/>
                <w:szCs w:val="24"/>
              </w:rPr>
            </w:pPr>
            <w:r>
              <w:rPr>
                <w:rFonts w:hint="eastAsia" w:eastAsia="方正书宋_GBK"/>
                <w:sz w:val="24"/>
                <w:szCs w:val="24"/>
              </w:rPr>
              <w:t>1</w:t>
            </w:r>
          </w:p>
        </w:tc>
        <w:tc>
          <w:tcPr>
            <w:tcW w:w="5207" w:type="dxa"/>
            <w:noWrap w:val="0"/>
            <w:vAlign w:val="center"/>
          </w:tcPr>
          <w:p w14:paraId="4643D744">
            <w:pPr>
              <w:jc w:val="left"/>
              <w:rPr>
                <w:rFonts w:eastAsia="方正书宋_GBK"/>
                <w:sz w:val="24"/>
                <w:szCs w:val="24"/>
              </w:rPr>
            </w:pPr>
            <w:r>
              <w:rPr>
                <w:rFonts w:eastAsia="方正书宋_GBK"/>
                <w:sz w:val="24"/>
                <w:szCs w:val="24"/>
              </w:rPr>
              <w:t>市公安局</w:t>
            </w:r>
          </w:p>
        </w:tc>
        <w:tc>
          <w:tcPr>
            <w:tcW w:w="2848" w:type="dxa"/>
            <w:noWrap w:val="0"/>
            <w:vAlign w:val="center"/>
          </w:tcPr>
          <w:p w14:paraId="05F5FDE1">
            <w:pPr>
              <w:jc w:val="center"/>
              <w:rPr>
                <w:rFonts w:eastAsia="方正书宋_GBK"/>
                <w:sz w:val="24"/>
                <w:szCs w:val="24"/>
              </w:rPr>
            </w:pPr>
            <w:r>
              <w:rPr>
                <w:rFonts w:eastAsia="方正书宋_GBK"/>
                <w:sz w:val="24"/>
                <w:szCs w:val="24"/>
              </w:rPr>
              <w:t>02584420114</w:t>
            </w:r>
          </w:p>
        </w:tc>
      </w:tr>
      <w:tr w14:paraId="24086B8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20F90EEA">
            <w:pPr>
              <w:jc w:val="center"/>
              <w:rPr>
                <w:rFonts w:hint="eastAsia" w:eastAsia="方正书宋_GBK"/>
                <w:sz w:val="24"/>
                <w:szCs w:val="24"/>
              </w:rPr>
            </w:pPr>
            <w:r>
              <w:rPr>
                <w:rFonts w:hint="eastAsia" w:eastAsia="方正书宋_GBK"/>
                <w:sz w:val="24"/>
                <w:szCs w:val="24"/>
              </w:rPr>
              <w:t>2</w:t>
            </w:r>
          </w:p>
        </w:tc>
        <w:tc>
          <w:tcPr>
            <w:tcW w:w="5207" w:type="dxa"/>
            <w:noWrap w:val="0"/>
            <w:vAlign w:val="center"/>
          </w:tcPr>
          <w:p w14:paraId="7E97F299">
            <w:pPr>
              <w:jc w:val="left"/>
              <w:rPr>
                <w:rFonts w:eastAsia="方正书宋_GBK"/>
                <w:sz w:val="24"/>
                <w:szCs w:val="24"/>
              </w:rPr>
            </w:pPr>
            <w:r>
              <w:rPr>
                <w:rFonts w:eastAsia="方正书宋_GBK"/>
                <w:sz w:val="24"/>
                <w:szCs w:val="24"/>
              </w:rPr>
              <w:t>市应急管理局</w:t>
            </w:r>
          </w:p>
        </w:tc>
        <w:tc>
          <w:tcPr>
            <w:tcW w:w="2848" w:type="dxa"/>
            <w:noWrap w:val="0"/>
            <w:vAlign w:val="center"/>
          </w:tcPr>
          <w:p w14:paraId="53357194">
            <w:pPr>
              <w:jc w:val="center"/>
              <w:rPr>
                <w:rFonts w:eastAsia="方正书宋_GBK"/>
                <w:sz w:val="24"/>
                <w:szCs w:val="24"/>
              </w:rPr>
            </w:pPr>
            <w:r>
              <w:rPr>
                <w:rFonts w:eastAsia="方正书宋_GBK"/>
                <w:sz w:val="24"/>
                <w:szCs w:val="24"/>
              </w:rPr>
              <w:t>025—83630300</w:t>
            </w:r>
          </w:p>
        </w:tc>
      </w:tr>
      <w:tr w14:paraId="0F7F77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3743C4F3">
            <w:pPr>
              <w:jc w:val="center"/>
              <w:rPr>
                <w:rFonts w:hint="eastAsia" w:eastAsia="方正书宋_GBK"/>
                <w:sz w:val="24"/>
                <w:szCs w:val="24"/>
              </w:rPr>
            </w:pPr>
            <w:r>
              <w:rPr>
                <w:rFonts w:hint="eastAsia" w:eastAsia="方正书宋_GBK"/>
                <w:sz w:val="24"/>
                <w:szCs w:val="24"/>
              </w:rPr>
              <w:t>3</w:t>
            </w:r>
          </w:p>
        </w:tc>
        <w:tc>
          <w:tcPr>
            <w:tcW w:w="5207" w:type="dxa"/>
            <w:noWrap w:val="0"/>
            <w:vAlign w:val="center"/>
          </w:tcPr>
          <w:p w14:paraId="4103466F">
            <w:pPr>
              <w:jc w:val="left"/>
              <w:rPr>
                <w:rFonts w:eastAsia="方正书宋_GBK"/>
                <w:sz w:val="24"/>
                <w:szCs w:val="24"/>
              </w:rPr>
            </w:pPr>
            <w:r>
              <w:rPr>
                <w:rFonts w:eastAsia="方正书宋_GBK"/>
                <w:sz w:val="24"/>
                <w:szCs w:val="24"/>
              </w:rPr>
              <w:t>市交通运输局</w:t>
            </w:r>
          </w:p>
        </w:tc>
        <w:tc>
          <w:tcPr>
            <w:tcW w:w="2848" w:type="dxa"/>
            <w:noWrap w:val="0"/>
            <w:vAlign w:val="center"/>
          </w:tcPr>
          <w:p w14:paraId="789168CC">
            <w:pPr>
              <w:jc w:val="center"/>
              <w:rPr>
                <w:rFonts w:eastAsia="方正书宋_GBK"/>
                <w:sz w:val="24"/>
                <w:szCs w:val="24"/>
              </w:rPr>
            </w:pPr>
            <w:r>
              <w:rPr>
                <w:rFonts w:eastAsia="方正书宋_GBK"/>
                <w:sz w:val="24"/>
                <w:szCs w:val="24"/>
              </w:rPr>
              <w:t>12328</w:t>
            </w:r>
          </w:p>
          <w:p w14:paraId="3FBFF3EE">
            <w:pPr>
              <w:jc w:val="center"/>
              <w:rPr>
                <w:rFonts w:eastAsia="方正书宋_GBK"/>
                <w:sz w:val="24"/>
                <w:szCs w:val="24"/>
              </w:rPr>
            </w:pPr>
            <w:r>
              <w:rPr>
                <w:rFonts w:hint="eastAsia" w:eastAsia="方正书宋_GBK"/>
                <w:sz w:val="24"/>
                <w:szCs w:val="24"/>
              </w:rPr>
              <w:t>025—83194295</w:t>
            </w:r>
          </w:p>
        </w:tc>
      </w:tr>
      <w:tr w14:paraId="5C1B8C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7A8CE7B9">
            <w:pPr>
              <w:jc w:val="center"/>
              <w:rPr>
                <w:rFonts w:hint="eastAsia" w:eastAsia="方正书宋_GBK"/>
                <w:sz w:val="24"/>
                <w:szCs w:val="24"/>
              </w:rPr>
            </w:pPr>
            <w:r>
              <w:rPr>
                <w:rFonts w:hint="eastAsia" w:eastAsia="方正书宋_GBK"/>
                <w:sz w:val="24"/>
                <w:szCs w:val="24"/>
              </w:rPr>
              <w:t>4</w:t>
            </w:r>
          </w:p>
        </w:tc>
        <w:tc>
          <w:tcPr>
            <w:tcW w:w="5207" w:type="dxa"/>
            <w:noWrap w:val="0"/>
            <w:vAlign w:val="center"/>
          </w:tcPr>
          <w:p w14:paraId="0B47EDB5">
            <w:pPr>
              <w:jc w:val="left"/>
              <w:rPr>
                <w:rFonts w:eastAsia="方正书宋_GBK"/>
                <w:sz w:val="24"/>
                <w:szCs w:val="24"/>
              </w:rPr>
            </w:pPr>
            <w:r>
              <w:rPr>
                <w:rFonts w:eastAsia="方正书宋_GBK"/>
                <w:sz w:val="24"/>
                <w:szCs w:val="24"/>
              </w:rPr>
              <w:t>市消防救援支队</w:t>
            </w:r>
          </w:p>
        </w:tc>
        <w:tc>
          <w:tcPr>
            <w:tcW w:w="2848" w:type="dxa"/>
            <w:noWrap w:val="0"/>
            <w:vAlign w:val="center"/>
          </w:tcPr>
          <w:p w14:paraId="56B8EEE6">
            <w:pPr>
              <w:jc w:val="center"/>
              <w:rPr>
                <w:rFonts w:eastAsia="方正书宋_GBK"/>
                <w:sz w:val="24"/>
                <w:szCs w:val="24"/>
              </w:rPr>
            </w:pPr>
            <w:r>
              <w:rPr>
                <w:rFonts w:eastAsia="方正书宋_GBK"/>
                <w:sz w:val="24"/>
                <w:szCs w:val="24"/>
              </w:rPr>
              <w:t>025—83622119</w:t>
            </w:r>
          </w:p>
        </w:tc>
      </w:tr>
      <w:tr w14:paraId="662CF1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19FF1218">
            <w:pPr>
              <w:jc w:val="center"/>
              <w:rPr>
                <w:rFonts w:hint="eastAsia" w:eastAsia="方正书宋_GBK"/>
                <w:sz w:val="24"/>
                <w:szCs w:val="24"/>
              </w:rPr>
            </w:pPr>
            <w:r>
              <w:rPr>
                <w:rFonts w:hint="eastAsia" w:eastAsia="方正书宋_GBK"/>
                <w:sz w:val="24"/>
                <w:szCs w:val="24"/>
              </w:rPr>
              <w:t>5</w:t>
            </w:r>
          </w:p>
        </w:tc>
        <w:tc>
          <w:tcPr>
            <w:tcW w:w="5207" w:type="dxa"/>
            <w:noWrap w:val="0"/>
            <w:vAlign w:val="center"/>
          </w:tcPr>
          <w:p w14:paraId="48640AA8">
            <w:pPr>
              <w:jc w:val="left"/>
              <w:rPr>
                <w:rFonts w:eastAsia="方正书宋_GBK"/>
                <w:sz w:val="24"/>
                <w:szCs w:val="24"/>
              </w:rPr>
            </w:pPr>
            <w:r>
              <w:rPr>
                <w:rFonts w:eastAsia="方正书宋_GBK"/>
                <w:sz w:val="24"/>
                <w:szCs w:val="24"/>
              </w:rPr>
              <w:t>新街口地铁站一号线车站控制室</w:t>
            </w:r>
          </w:p>
        </w:tc>
        <w:tc>
          <w:tcPr>
            <w:tcW w:w="2848" w:type="dxa"/>
            <w:noWrap w:val="0"/>
            <w:vAlign w:val="center"/>
          </w:tcPr>
          <w:p w14:paraId="05CD6201">
            <w:pPr>
              <w:jc w:val="center"/>
              <w:rPr>
                <w:rFonts w:eastAsia="方正书宋_GBK"/>
                <w:sz w:val="24"/>
                <w:szCs w:val="24"/>
              </w:rPr>
            </w:pPr>
            <w:r>
              <w:rPr>
                <w:rFonts w:eastAsia="方正书宋_GBK"/>
                <w:sz w:val="24"/>
                <w:szCs w:val="24"/>
              </w:rPr>
              <w:t>025—51892511</w:t>
            </w:r>
          </w:p>
        </w:tc>
      </w:tr>
      <w:tr w14:paraId="67272B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54FF38DC">
            <w:pPr>
              <w:jc w:val="center"/>
              <w:rPr>
                <w:rFonts w:hint="eastAsia" w:eastAsia="方正书宋_GBK"/>
                <w:sz w:val="24"/>
                <w:szCs w:val="24"/>
              </w:rPr>
            </w:pPr>
            <w:r>
              <w:rPr>
                <w:rFonts w:hint="eastAsia" w:eastAsia="方正书宋_GBK"/>
                <w:sz w:val="24"/>
                <w:szCs w:val="24"/>
              </w:rPr>
              <w:t>6</w:t>
            </w:r>
          </w:p>
        </w:tc>
        <w:tc>
          <w:tcPr>
            <w:tcW w:w="5207" w:type="dxa"/>
            <w:noWrap w:val="0"/>
            <w:vAlign w:val="center"/>
          </w:tcPr>
          <w:p w14:paraId="6878A132">
            <w:pPr>
              <w:jc w:val="left"/>
              <w:rPr>
                <w:rFonts w:eastAsia="方正书宋_GBK"/>
                <w:sz w:val="24"/>
                <w:szCs w:val="24"/>
              </w:rPr>
            </w:pPr>
            <w:r>
              <w:rPr>
                <w:rFonts w:eastAsia="方正书宋_GBK"/>
                <w:sz w:val="24"/>
                <w:szCs w:val="24"/>
              </w:rPr>
              <w:t>新街口地铁站二号线车站控制室</w:t>
            </w:r>
          </w:p>
        </w:tc>
        <w:tc>
          <w:tcPr>
            <w:tcW w:w="2848" w:type="dxa"/>
            <w:noWrap w:val="0"/>
            <w:vAlign w:val="center"/>
          </w:tcPr>
          <w:p w14:paraId="0A4A981E">
            <w:pPr>
              <w:jc w:val="center"/>
              <w:rPr>
                <w:rFonts w:eastAsia="方正书宋_GBK"/>
                <w:sz w:val="24"/>
                <w:szCs w:val="24"/>
              </w:rPr>
            </w:pPr>
            <w:r>
              <w:rPr>
                <w:rFonts w:eastAsia="方正书宋_GBK"/>
                <w:sz w:val="24"/>
                <w:szCs w:val="24"/>
              </w:rPr>
              <w:t>025—51895111</w:t>
            </w:r>
          </w:p>
        </w:tc>
      </w:tr>
      <w:tr w14:paraId="5508A1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240A056D">
            <w:pPr>
              <w:jc w:val="center"/>
              <w:rPr>
                <w:rFonts w:hint="eastAsia" w:eastAsia="方正书宋_GBK"/>
                <w:sz w:val="24"/>
                <w:szCs w:val="24"/>
              </w:rPr>
            </w:pPr>
            <w:r>
              <w:rPr>
                <w:rFonts w:hint="eastAsia" w:eastAsia="方正书宋_GBK"/>
                <w:sz w:val="24"/>
                <w:szCs w:val="24"/>
              </w:rPr>
              <w:t>7</w:t>
            </w:r>
          </w:p>
        </w:tc>
        <w:tc>
          <w:tcPr>
            <w:tcW w:w="5207" w:type="dxa"/>
            <w:noWrap w:val="0"/>
            <w:vAlign w:val="center"/>
          </w:tcPr>
          <w:p w14:paraId="233F3EB9">
            <w:pPr>
              <w:jc w:val="left"/>
              <w:rPr>
                <w:rFonts w:eastAsia="方正书宋_GBK"/>
                <w:sz w:val="24"/>
                <w:szCs w:val="24"/>
              </w:rPr>
            </w:pPr>
            <w:r>
              <w:rPr>
                <w:rFonts w:eastAsia="方正书宋_GBK"/>
                <w:sz w:val="24"/>
                <w:szCs w:val="24"/>
              </w:rPr>
              <w:t>市委网络安全和信息化委员会办公室</w:t>
            </w:r>
          </w:p>
        </w:tc>
        <w:tc>
          <w:tcPr>
            <w:tcW w:w="2848" w:type="dxa"/>
            <w:noWrap w:val="0"/>
            <w:vAlign w:val="center"/>
          </w:tcPr>
          <w:p w14:paraId="5F2711F4">
            <w:pPr>
              <w:jc w:val="center"/>
              <w:rPr>
                <w:rFonts w:eastAsia="方正书宋_GBK"/>
                <w:sz w:val="24"/>
                <w:szCs w:val="24"/>
              </w:rPr>
            </w:pPr>
            <w:r>
              <w:rPr>
                <w:rFonts w:hint="eastAsia" w:eastAsia="方正书宋_GBK"/>
                <w:sz w:val="24"/>
                <w:szCs w:val="24"/>
              </w:rPr>
              <w:t>025—82212377</w:t>
            </w:r>
          </w:p>
        </w:tc>
      </w:tr>
      <w:tr w14:paraId="364D89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108422E7">
            <w:pPr>
              <w:jc w:val="center"/>
              <w:rPr>
                <w:rFonts w:hint="eastAsia" w:eastAsia="方正书宋_GBK"/>
                <w:sz w:val="24"/>
                <w:szCs w:val="24"/>
              </w:rPr>
            </w:pPr>
            <w:r>
              <w:rPr>
                <w:rFonts w:hint="eastAsia" w:eastAsia="方正书宋_GBK"/>
                <w:sz w:val="24"/>
                <w:szCs w:val="24"/>
              </w:rPr>
              <w:t>8</w:t>
            </w:r>
          </w:p>
        </w:tc>
        <w:tc>
          <w:tcPr>
            <w:tcW w:w="5207" w:type="dxa"/>
            <w:noWrap w:val="0"/>
            <w:vAlign w:val="center"/>
          </w:tcPr>
          <w:p w14:paraId="1FC29F97">
            <w:pPr>
              <w:jc w:val="left"/>
              <w:rPr>
                <w:rFonts w:hint="eastAsia" w:eastAsia="方正书宋_GBK"/>
                <w:sz w:val="24"/>
                <w:szCs w:val="24"/>
              </w:rPr>
            </w:pPr>
            <w:r>
              <w:rPr>
                <w:rFonts w:hint="eastAsia" w:eastAsia="方正书宋_GBK"/>
                <w:sz w:val="24"/>
                <w:szCs w:val="24"/>
              </w:rPr>
              <w:t>市委台湾工作办公室</w:t>
            </w:r>
          </w:p>
        </w:tc>
        <w:tc>
          <w:tcPr>
            <w:tcW w:w="2848" w:type="dxa"/>
            <w:noWrap w:val="0"/>
            <w:vAlign w:val="center"/>
          </w:tcPr>
          <w:p w14:paraId="4D23FF53">
            <w:pPr>
              <w:jc w:val="center"/>
              <w:rPr>
                <w:rFonts w:hint="eastAsia" w:eastAsia="方正书宋_GBK"/>
                <w:sz w:val="24"/>
                <w:szCs w:val="24"/>
              </w:rPr>
            </w:pPr>
            <w:r>
              <w:rPr>
                <w:rFonts w:hint="eastAsia" w:eastAsia="方正书宋_GBK"/>
                <w:sz w:val="24"/>
                <w:szCs w:val="24"/>
              </w:rPr>
              <w:t>025—83635328</w:t>
            </w:r>
          </w:p>
        </w:tc>
      </w:tr>
      <w:tr w14:paraId="093D871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207166E4">
            <w:pPr>
              <w:jc w:val="center"/>
              <w:rPr>
                <w:rFonts w:hint="eastAsia" w:eastAsia="方正书宋_GBK"/>
                <w:sz w:val="24"/>
                <w:szCs w:val="24"/>
              </w:rPr>
            </w:pPr>
            <w:r>
              <w:rPr>
                <w:rFonts w:hint="eastAsia" w:eastAsia="方正书宋_GBK"/>
                <w:sz w:val="24"/>
                <w:szCs w:val="24"/>
              </w:rPr>
              <w:t>9</w:t>
            </w:r>
          </w:p>
        </w:tc>
        <w:tc>
          <w:tcPr>
            <w:tcW w:w="5207" w:type="dxa"/>
            <w:noWrap w:val="0"/>
            <w:vAlign w:val="center"/>
          </w:tcPr>
          <w:p w14:paraId="7BFD12F9">
            <w:pPr>
              <w:jc w:val="left"/>
              <w:rPr>
                <w:rFonts w:eastAsia="方正书宋_GBK"/>
                <w:sz w:val="24"/>
                <w:szCs w:val="24"/>
              </w:rPr>
            </w:pPr>
            <w:r>
              <w:rPr>
                <w:rFonts w:eastAsia="方正书宋_GBK"/>
                <w:sz w:val="24"/>
                <w:szCs w:val="24"/>
              </w:rPr>
              <w:t>市民政局</w:t>
            </w:r>
          </w:p>
        </w:tc>
        <w:tc>
          <w:tcPr>
            <w:tcW w:w="2848" w:type="dxa"/>
            <w:noWrap w:val="0"/>
            <w:vAlign w:val="center"/>
          </w:tcPr>
          <w:p w14:paraId="33C354A4">
            <w:pPr>
              <w:jc w:val="center"/>
              <w:rPr>
                <w:rFonts w:eastAsia="方正书宋_GBK"/>
                <w:sz w:val="24"/>
                <w:szCs w:val="24"/>
              </w:rPr>
            </w:pPr>
            <w:r>
              <w:rPr>
                <w:rFonts w:eastAsia="方正书宋_GBK"/>
                <w:sz w:val="24"/>
                <w:szCs w:val="24"/>
              </w:rPr>
              <w:t>12349</w:t>
            </w:r>
          </w:p>
          <w:p w14:paraId="4671F431">
            <w:pPr>
              <w:jc w:val="center"/>
              <w:rPr>
                <w:rFonts w:eastAsia="方正书宋_GBK"/>
                <w:sz w:val="24"/>
                <w:szCs w:val="24"/>
              </w:rPr>
            </w:pPr>
            <w:r>
              <w:rPr>
                <w:rFonts w:eastAsia="方正书宋_GBK"/>
                <w:sz w:val="24"/>
                <w:szCs w:val="24"/>
              </w:rPr>
              <w:t>025—83635666</w:t>
            </w:r>
          </w:p>
        </w:tc>
      </w:tr>
      <w:tr w14:paraId="6DCBD8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7F02FD9B">
            <w:pPr>
              <w:jc w:val="center"/>
              <w:rPr>
                <w:rFonts w:hint="eastAsia" w:eastAsia="方正书宋_GBK"/>
                <w:sz w:val="24"/>
                <w:szCs w:val="24"/>
              </w:rPr>
            </w:pPr>
            <w:r>
              <w:rPr>
                <w:rFonts w:hint="eastAsia" w:eastAsia="方正书宋_GBK"/>
                <w:sz w:val="24"/>
                <w:szCs w:val="24"/>
              </w:rPr>
              <w:t>10</w:t>
            </w:r>
          </w:p>
        </w:tc>
        <w:tc>
          <w:tcPr>
            <w:tcW w:w="5207" w:type="dxa"/>
            <w:noWrap w:val="0"/>
            <w:vAlign w:val="center"/>
          </w:tcPr>
          <w:p w14:paraId="7043A858">
            <w:pPr>
              <w:jc w:val="left"/>
              <w:rPr>
                <w:rFonts w:eastAsia="方正书宋_GBK"/>
                <w:sz w:val="24"/>
                <w:szCs w:val="24"/>
              </w:rPr>
            </w:pPr>
            <w:r>
              <w:rPr>
                <w:rFonts w:eastAsia="方正书宋_GBK"/>
                <w:sz w:val="24"/>
                <w:szCs w:val="24"/>
              </w:rPr>
              <w:t>市财政局</w:t>
            </w:r>
          </w:p>
        </w:tc>
        <w:tc>
          <w:tcPr>
            <w:tcW w:w="2848" w:type="dxa"/>
            <w:noWrap w:val="0"/>
            <w:vAlign w:val="center"/>
          </w:tcPr>
          <w:p w14:paraId="4C507C94">
            <w:pPr>
              <w:jc w:val="center"/>
              <w:rPr>
                <w:rFonts w:eastAsia="方正书宋_GBK"/>
                <w:sz w:val="24"/>
                <w:szCs w:val="24"/>
              </w:rPr>
            </w:pPr>
            <w:r>
              <w:rPr>
                <w:rFonts w:eastAsia="方正书宋_GBK"/>
                <w:sz w:val="24"/>
                <w:szCs w:val="24"/>
              </w:rPr>
              <w:t>025—51808815</w:t>
            </w:r>
          </w:p>
        </w:tc>
      </w:tr>
      <w:tr w14:paraId="78D33F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4E0576AF">
            <w:pPr>
              <w:jc w:val="center"/>
              <w:rPr>
                <w:rFonts w:hint="eastAsia" w:eastAsia="方正书宋_GBK"/>
                <w:sz w:val="24"/>
                <w:szCs w:val="24"/>
              </w:rPr>
            </w:pPr>
            <w:r>
              <w:rPr>
                <w:rFonts w:hint="eastAsia" w:eastAsia="方正书宋_GBK"/>
                <w:sz w:val="24"/>
                <w:szCs w:val="24"/>
              </w:rPr>
              <w:t>11</w:t>
            </w:r>
          </w:p>
        </w:tc>
        <w:tc>
          <w:tcPr>
            <w:tcW w:w="5207" w:type="dxa"/>
            <w:noWrap w:val="0"/>
            <w:vAlign w:val="center"/>
          </w:tcPr>
          <w:p w14:paraId="083AC7B9">
            <w:pPr>
              <w:jc w:val="left"/>
              <w:rPr>
                <w:rFonts w:eastAsia="方正书宋_GBK"/>
                <w:sz w:val="24"/>
                <w:szCs w:val="24"/>
              </w:rPr>
            </w:pPr>
            <w:r>
              <w:rPr>
                <w:rFonts w:eastAsia="方正书宋_GBK"/>
                <w:sz w:val="24"/>
                <w:szCs w:val="24"/>
              </w:rPr>
              <w:t>市生态环境局</w:t>
            </w:r>
          </w:p>
        </w:tc>
        <w:tc>
          <w:tcPr>
            <w:tcW w:w="2848" w:type="dxa"/>
            <w:noWrap w:val="0"/>
            <w:vAlign w:val="center"/>
          </w:tcPr>
          <w:p w14:paraId="5A21D214">
            <w:pPr>
              <w:jc w:val="center"/>
              <w:rPr>
                <w:rFonts w:eastAsia="方正书宋_GBK"/>
                <w:sz w:val="24"/>
                <w:szCs w:val="24"/>
              </w:rPr>
            </w:pPr>
            <w:r>
              <w:rPr>
                <w:rFonts w:eastAsia="方正书宋_GBK"/>
                <w:sz w:val="24"/>
                <w:szCs w:val="24"/>
              </w:rPr>
              <w:t>025—83630895</w:t>
            </w:r>
          </w:p>
        </w:tc>
      </w:tr>
      <w:tr w14:paraId="6192F8C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6E1CFDA4">
            <w:pPr>
              <w:jc w:val="center"/>
              <w:rPr>
                <w:rFonts w:hint="eastAsia" w:eastAsia="方正书宋_GBK"/>
                <w:sz w:val="24"/>
                <w:szCs w:val="24"/>
              </w:rPr>
            </w:pPr>
            <w:r>
              <w:rPr>
                <w:rFonts w:hint="eastAsia" w:eastAsia="方正书宋_GBK"/>
                <w:sz w:val="24"/>
                <w:szCs w:val="24"/>
              </w:rPr>
              <w:t>12</w:t>
            </w:r>
          </w:p>
        </w:tc>
        <w:tc>
          <w:tcPr>
            <w:tcW w:w="5207" w:type="dxa"/>
            <w:noWrap w:val="0"/>
            <w:vAlign w:val="center"/>
          </w:tcPr>
          <w:p w14:paraId="3B1CB1D0">
            <w:pPr>
              <w:jc w:val="left"/>
              <w:rPr>
                <w:rFonts w:eastAsia="方正书宋_GBK"/>
                <w:sz w:val="24"/>
                <w:szCs w:val="24"/>
              </w:rPr>
            </w:pPr>
            <w:r>
              <w:rPr>
                <w:rFonts w:eastAsia="方正书宋_GBK"/>
                <w:sz w:val="24"/>
                <w:szCs w:val="24"/>
              </w:rPr>
              <w:t>市城乡建设委员会</w:t>
            </w:r>
          </w:p>
        </w:tc>
        <w:tc>
          <w:tcPr>
            <w:tcW w:w="2848" w:type="dxa"/>
            <w:noWrap w:val="0"/>
            <w:vAlign w:val="center"/>
          </w:tcPr>
          <w:p w14:paraId="12E0A3E4">
            <w:pPr>
              <w:jc w:val="center"/>
              <w:rPr>
                <w:rFonts w:eastAsia="方正书宋_GBK"/>
                <w:sz w:val="24"/>
                <w:szCs w:val="24"/>
              </w:rPr>
            </w:pPr>
            <w:r>
              <w:rPr>
                <w:rFonts w:eastAsia="方正书宋_GBK"/>
                <w:sz w:val="24"/>
                <w:szCs w:val="24"/>
              </w:rPr>
              <w:t>025—</w:t>
            </w:r>
            <w:r>
              <w:rPr>
                <w:rFonts w:hint="eastAsia" w:eastAsia="方正书宋_GBK"/>
                <w:sz w:val="24"/>
                <w:szCs w:val="24"/>
              </w:rPr>
              <w:t>83753540</w:t>
            </w:r>
          </w:p>
        </w:tc>
      </w:tr>
      <w:tr w14:paraId="717557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73776C6B">
            <w:pPr>
              <w:jc w:val="center"/>
              <w:rPr>
                <w:rFonts w:hint="eastAsia" w:eastAsia="方正书宋_GBK"/>
                <w:sz w:val="24"/>
                <w:szCs w:val="24"/>
              </w:rPr>
            </w:pPr>
            <w:r>
              <w:rPr>
                <w:rFonts w:hint="eastAsia" w:eastAsia="方正书宋_GBK"/>
                <w:sz w:val="24"/>
                <w:szCs w:val="24"/>
              </w:rPr>
              <w:t>13</w:t>
            </w:r>
          </w:p>
        </w:tc>
        <w:tc>
          <w:tcPr>
            <w:tcW w:w="5207" w:type="dxa"/>
            <w:noWrap w:val="0"/>
            <w:vAlign w:val="center"/>
          </w:tcPr>
          <w:p w14:paraId="4C602E7E">
            <w:pPr>
              <w:jc w:val="left"/>
              <w:rPr>
                <w:rFonts w:eastAsia="方正书宋_GBK"/>
                <w:sz w:val="24"/>
                <w:szCs w:val="24"/>
              </w:rPr>
            </w:pPr>
            <w:r>
              <w:rPr>
                <w:rFonts w:eastAsia="方正书宋_GBK"/>
                <w:sz w:val="24"/>
                <w:szCs w:val="24"/>
              </w:rPr>
              <w:t>市水务局</w:t>
            </w:r>
          </w:p>
        </w:tc>
        <w:tc>
          <w:tcPr>
            <w:tcW w:w="2848" w:type="dxa"/>
            <w:noWrap w:val="0"/>
            <w:vAlign w:val="center"/>
          </w:tcPr>
          <w:p w14:paraId="4DD71101">
            <w:pPr>
              <w:jc w:val="center"/>
              <w:rPr>
                <w:rFonts w:eastAsia="方正书宋_GBK"/>
                <w:sz w:val="24"/>
                <w:szCs w:val="24"/>
              </w:rPr>
            </w:pPr>
            <w:r>
              <w:rPr>
                <w:rFonts w:eastAsia="方正书宋_GBK"/>
                <w:sz w:val="24"/>
                <w:szCs w:val="24"/>
              </w:rPr>
              <w:t>025—52367819</w:t>
            </w:r>
          </w:p>
          <w:p w14:paraId="292904E9">
            <w:pPr>
              <w:jc w:val="center"/>
              <w:rPr>
                <w:rFonts w:eastAsia="方正书宋_GBK"/>
                <w:sz w:val="24"/>
                <w:szCs w:val="24"/>
              </w:rPr>
            </w:pPr>
            <w:r>
              <w:rPr>
                <w:rFonts w:eastAsia="方正书宋_GBK"/>
                <w:sz w:val="24"/>
                <w:szCs w:val="24"/>
              </w:rPr>
              <w:t>025—52367800</w:t>
            </w:r>
          </w:p>
        </w:tc>
      </w:tr>
      <w:tr w14:paraId="160558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2C077C6A">
            <w:pPr>
              <w:jc w:val="center"/>
              <w:rPr>
                <w:rFonts w:hint="eastAsia" w:eastAsia="方正书宋_GBK"/>
                <w:sz w:val="24"/>
                <w:szCs w:val="24"/>
              </w:rPr>
            </w:pPr>
            <w:r>
              <w:rPr>
                <w:rFonts w:hint="eastAsia" w:eastAsia="方正书宋_GBK"/>
                <w:sz w:val="24"/>
                <w:szCs w:val="24"/>
              </w:rPr>
              <w:t>14</w:t>
            </w:r>
          </w:p>
        </w:tc>
        <w:tc>
          <w:tcPr>
            <w:tcW w:w="5207" w:type="dxa"/>
            <w:noWrap w:val="0"/>
            <w:vAlign w:val="center"/>
          </w:tcPr>
          <w:p w14:paraId="4B4A4146">
            <w:pPr>
              <w:jc w:val="left"/>
              <w:rPr>
                <w:rFonts w:eastAsia="方正书宋_GBK"/>
                <w:sz w:val="24"/>
                <w:szCs w:val="24"/>
              </w:rPr>
            </w:pPr>
            <w:r>
              <w:rPr>
                <w:rFonts w:eastAsia="方正书宋_GBK"/>
                <w:sz w:val="24"/>
                <w:szCs w:val="24"/>
              </w:rPr>
              <w:t>市城市管理局</w:t>
            </w:r>
          </w:p>
        </w:tc>
        <w:tc>
          <w:tcPr>
            <w:tcW w:w="2848" w:type="dxa"/>
            <w:noWrap w:val="0"/>
            <w:vAlign w:val="center"/>
          </w:tcPr>
          <w:p w14:paraId="1AA331E6">
            <w:pPr>
              <w:jc w:val="center"/>
              <w:rPr>
                <w:rFonts w:eastAsia="方正书宋_GBK"/>
                <w:sz w:val="24"/>
                <w:szCs w:val="24"/>
              </w:rPr>
            </w:pPr>
            <w:r>
              <w:rPr>
                <w:rFonts w:eastAsia="方正书宋_GBK"/>
                <w:sz w:val="24"/>
                <w:szCs w:val="24"/>
              </w:rPr>
              <w:t>025—57712988</w:t>
            </w:r>
          </w:p>
        </w:tc>
      </w:tr>
      <w:tr w14:paraId="26E6FB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69708F06">
            <w:pPr>
              <w:jc w:val="center"/>
              <w:rPr>
                <w:rFonts w:hint="eastAsia" w:eastAsia="方正书宋_GBK"/>
                <w:sz w:val="24"/>
                <w:szCs w:val="24"/>
              </w:rPr>
            </w:pPr>
            <w:r>
              <w:rPr>
                <w:rFonts w:hint="eastAsia" w:eastAsia="方正书宋_GBK"/>
                <w:sz w:val="24"/>
                <w:szCs w:val="24"/>
              </w:rPr>
              <w:t>15</w:t>
            </w:r>
          </w:p>
        </w:tc>
        <w:tc>
          <w:tcPr>
            <w:tcW w:w="5207" w:type="dxa"/>
            <w:noWrap w:val="0"/>
            <w:vAlign w:val="center"/>
          </w:tcPr>
          <w:p w14:paraId="61236FC6">
            <w:pPr>
              <w:jc w:val="left"/>
              <w:rPr>
                <w:rFonts w:eastAsia="方正书宋_GBK"/>
                <w:sz w:val="24"/>
                <w:szCs w:val="24"/>
              </w:rPr>
            </w:pPr>
            <w:r>
              <w:rPr>
                <w:rFonts w:eastAsia="方正书宋_GBK"/>
                <w:sz w:val="24"/>
                <w:szCs w:val="24"/>
              </w:rPr>
              <w:t>市商务局</w:t>
            </w:r>
          </w:p>
        </w:tc>
        <w:tc>
          <w:tcPr>
            <w:tcW w:w="2848" w:type="dxa"/>
            <w:noWrap w:val="0"/>
            <w:vAlign w:val="center"/>
          </w:tcPr>
          <w:p w14:paraId="3D78FD6E">
            <w:pPr>
              <w:jc w:val="center"/>
              <w:rPr>
                <w:rFonts w:eastAsia="方正书宋_GBK"/>
                <w:sz w:val="24"/>
                <w:szCs w:val="24"/>
              </w:rPr>
            </w:pPr>
            <w:r>
              <w:rPr>
                <w:rFonts w:eastAsia="方正书宋_GBK"/>
                <w:sz w:val="24"/>
                <w:szCs w:val="24"/>
              </w:rPr>
              <w:t>025—68539700</w:t>
            </w:r>
          </w:p>
        </w:tc>
      </w:tr>
      <w:tr w14:paraId="7A2BF7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03A887C8">
            <w:pPr>
              <w:jc w:val="center"/>
              <w:rPr>
                <w:rFonts w:hint="eastAsia" w:eastAsia="方正书宋_GBK"/>
                <w:sz w:val="24"/>
                <w:szCs w:val="24"/>
              </w:rPr>
            </w:pPr>
            <w:r>
              <w:rPr>
                <w:rFonts w:hint="eastAsia" w:eastAsia="方正书宋_GBK"/>
                <w:sz w:val="24"/>
                <w:szCs w:val="24"/>
              </w:rPr>
              <w:t>16</w:t>
            </w:r>
          </w:p>
        </w:tc>
        <w:tc>
          <w:tcPr>
            <w:tcW w:w="5207" w:type="dxa"/>
            <w:noWrap w:val="0"/>
            <w:vAlign w:val="center"/>
          </w:tcPr>
          <w:p w14:paraId="299F73C1">
            <w:pPr>
              <w:jc w:val="left"/>
              <w:rPr>
                <w:rFonts w:eastAsia="方正书宋_GBK"/>
                <w:sz w:val="24"/>
                <w:szCs w:val="24"/>
              </w:rPr>
            </w:pPr>
            <w:r>
              <w:rPr>
                <w:rFonts w:eastAsia="方正书宋_GBK"/>
                <w:sz w:val="24"/>
                <w:szCs w:val="24"/>
              </w:rPr>
              <w:t>市卫生健康委员会</w:t>
            </w:r>
          </w:p>
        </w:tc>
        <w:tc>
          <w:tcPr>
            <w:tcW w:w="2848" w:type="dxa"/>
            <w:noWrap w:val="0"/>
            <w:vAlign w:val="center"/>
          </w:tcPr>
          <w:p w14:paraId="687C6C9E">
            <w:pPr>
              <w:jc w:val="center"/>
              <w:rPr>
                <w:rFonts w:eastAsia="方正书宋_GBK"/>
                <w:sz w:val="24"/>
                <w:szCs w:val="24"/>
              </w:rPr>
            </w:pPr>
            <w:r>
              <w:rPr>
                <w:rFonts w:eastAsia="方正书宋_GBK"/>
                <w:sz w:val="24"/>
                <w:szCs w:val="24"/>
              </w:rPr>
              <w:t>025—12320</w:t>
            </w:r>
          </w:p>
        </w:tc>
      </w:tr>
      <w:tr w14:paraId="7EACFA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0236A726">
            <w:pPr>
              <w:jc w:val="center"/>
              <w:rPr>
                <w:rFonts w:hint="eastAsia" w:eastAsia="方正书宋_GBK"/>
                <w:sz w:val="24"/>
                <w:szCs w:val="24"/>
              </w:rPr>
            </w:pPr>
            <w:r>
              <w:rPr>
                <w:rFonts w:hint="eastAsia" w:eastAsia="方正书宋_GBK"/>
                <w:sz w:val="24"/>
                <w:szCs w:val="24"/>
              </w:rPr>
              <w:t>17</w:t>
            </w:r>
          </w:p>
        </w:tc>
        <w:tc>
          <w:tcPr>
            <w:tcW w:w="5207" w:type="dxa"/>
            <w:noWrap w:val="0"/>
            <w:vAlign w:val="center"/>
          </w:tcPr>
          <w:p w14:paraId="4A2E8D9C">
            <w:pPr>
              <w:jc w:val="left"/>
              <w:rPr>
                <w:rFonts w:eastAsia="方正书宋_GBK"/>
                <w:sz w:val="24"/>
                <w:szCs w:val="24"/>
              </w:rPr>
            </w:pPr>
            <w:r>
              <w:rPr>
                <w:rFonts w:eastAsia="方正书宋_GBK"/>
                <w:sz w:val="24"/>
                <w:szCs w:val="24"/>
              </w:rPr>
              <w:t>市政府外事办公室</w:t>
            </w:r>
          </w:p>
        </w:tc>
        <w:tc>
          <w:tcPr>
            <w:tcW w:w="2848" w:type="dxa"/>
            <w:noWrap w:val="0"/>
            <w:vAlign w:val="center"/>
          </w:tcPr>
          <w:p w14:paraId="01172224">
            <w:pPr>
              <w:jc w:val="center"/>
              <w:rPr>
                <w:rFonts w:eastAsia="方正书宋_GBK"/>
                <w:sz w:val="24"/>
                <w:szCs w:val="24"/>
              </w:rPr>
            </w:pPr>
            <w:r>
              <w:rPr>
                <w:rFonts w:eastAsia="方正书宋_GBK"/>
                <w:sz w:val="24"/>
                <w:szCs w:val="24"/>
              </w:rPr>
              <w:t>025—68787312</w:t>
            </w:r>
          </w:p>
        </w:tc>
      </w:tr>
      <w:tr w14:paraId="4A57CF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1B638B8C">
            <w:pPr>
              <w:jc w:val="center"/>
              <w:rPr>
                <w:rFonts w:hint="eastAsia" w:eastAsia="方正书宋_GBK"/>
                <w:sz w:val="24"/>
                <w:szCs w:val="24"/>
              </w:rPr>
            </w:pPr>
            <w:r>
              <w:rPr>
                <w:rFonts w:hint="eastAsia" w:eastAsia="方正书宋_GBK"/>
                <w:sz w:val="24"/>
                <w:szCs w:val="24"/>
              </w:rPr>
              <w:t>18</w:t>
            </w:r>
          </w:p>
        </w:tc>
        <w:tc>
          <w:tcPr>
            <w:tcW w:w="5207" w:type="dxa"/>
            <w:noWrap w:val="0"/>
            <w:vAlign w:val="center"/>
          </w:tcPr>
          <w:p w14:paraId="5A216B09">
            <w:pPr>
              <w:jc w:val="left"/>
              <w:rPr>
                <w:rFonts w:eastAsia="方正书宋_GBK"/>
                <w:sz w:val="24"/>
                <w:szCs w:val="24"/>
              </w:rPr>
            </w:pPr>
            <w:r>
              <w:rPr>
                <w:rFonts w:eastAsia="方正书宋_GBK"/>
                <w:sz w:val="24"/>
                <w:szCs w:val="24"/>
              </w:rPr>
              <w:t>市国有资产监督管理委员会</w:t>
            </w:r>
          </w:p>
        </w:tc>
        <w:tc>
          <w:tcPr>
            <w:tcW w:w="2848" w:type="dxa"/>
            <w:noWrap w:val="0"/>
            <w:vAlign w:val="center"/>
          </w:tcPr>
          <w:p w14:paraId="39064B55">
            <w:pPr>
              <w:jc w:val="center"/>
              <w:rPr>
                <w:rFonts w:eastAsia="方正书宋_GBK"/>
                <w:sz w:val="24"/>
                <w:szCs w:val="24"/>
              </w:rPr>
            </w:pPr>
            <w:r>
              <w:rPr>
                <w:rFonts w:eastAsia="方正书宋_GBK"/>
                <w:sz w:val="24"/>
                <w:szCs w:val="24"/>
              </w:rPr>
              <w:t>025—68786795</w:t>
            </w:r>
          </w:p>
        </w:tc>
      </w:tr>
      <w:tr w14:paraId="09B176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4AD957E3">
            <w:pPr>
              <w:jc w:val="center"/>
              <w:rPr>
                <w:rFonts w:hint="eastAsia" w:eastAsia="方正书宋_GBK"/>
                <w:sz w:val="24"/>
                <w:szCs w:val="24"/>
              </w:rPr>
            </w:pPr>
            <w:r>
              <w:rPr>
                <w:rFonts w:hint="eastAsia" w:eastAsia="方正书宋_GBK"/>
                <w:sz w:val="24"/>
                <w:szCs w:val="24"/>
              </w:rPr>
              <w:t>19</w:t>
            </w:r>
          </w:p>
        </w:tc>
        <w:tc>
          <w:tcPr>
            <w:tcW w:w="5207" w:type="dxa"/>
            <w:noWrap w:val="0"/>
            <w:vAlign w:val="center"/>
          </w:tcPr>
          <w:p w14:paraId="00FCFC72">
            <w:pPr>
              <w:jc w:val="left"/>
              <w:rPr>
                <w:rFonts w:eastAsia="方正书宋_GBK"/>
                <w:sz w:val="24"/>
                <w:szCs w:val="24"/>
              </w:rPr>
            </w:pPr>
            <w:r>
              <w:rPr>
                <w:rFonts w:eastAsia="方正书宋_GBK"/>
                <w:sz w:val="24"/>
                <w:szCs w:val="24"/>
              </w:rPr>
              <w:t>市市场监督管理局</w:t>
            </w:r>
          </w:p>
        </w:tc>
        <w:tc>
          <w:tcPr>
            <w:tcW w:w="2848" w:type="dxa"/>
            <w:noWrap w:val="0"/>
            <w:vAlign w:val="center"/>
          </w:tcPr>
          <w:p w14:paraId="7D636414">
            <w:pPr>
              <w:jc w:val="center"/>
              <w:rPr>
                <w:rFonts w:eastAsia="方正书宋_GBK"/>
                <w:sz w:val="24"/>
                <w:szCs w:val="24"/>
              </w:rPr>
            </w:pPr>
            <w:r>
              <w:rPr>
                <w:rFonts w:eastAsia="方正书宋_GBK"/>
                <w:sz w:val="24"/>
                <w:szCs w:val="24"/>
              </w:rPr>
              <w:t>025—96333</w:t>
            </w:r>
          </w:p>
        </w:tc>
      </w:tr>
      <w:tr w14:paraId="310FC2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53B726BB">
            <w:pPr>
              <w:jc w:val="center"/>
              <w:rPr>
                <w:rFonts w:hint="eastAsia" w:eastAsia="方正书宋_GBK"/>
                <w:sz w:val="24"/>
                <w:szCs w:val="24"/>
              </w:rPr>
            </w:pPr>
            <w:r>
              <w:rPr>
                <w:rFonts w:hint="eastAsia" w:eastAsia="方正书宋_GBK"/>
                <w:sz w:val="24"/>
                <w:szCs w:val="24"/>
              </w:rPr>
              <w:t>20</w:t>
            </w:r>
          </w:p>
        </w:tc>
        <w:tc>
          <w:tcPr>
            <w:tcW w:w="5207" w:type="dxa"/>
            <w:noWrap w:val="0"/>
            <w:vAlign w:val="center"/>
          </w:tcPr>
          <w:p w14:paraId="4FD7AB2B">
            <w:pPr>
              <w:jc w:val="left"/>
              <w:rPr>
                <w:rFonts w:eastAsia="方正书宋_GBK"/>
                <w:sz w:val="24"/>
                <w:szCs w:val="24"/>
              </w:rPr>
            </w:pPr>
            <w:r>
              <w:rPr>
                <w:rFonts w:eastAsia="方正书宋_GBK"/>
                <w:sz w:val="24"/>
                <w:szCs w:val="24"/>
              </w:rPr>
              <w:t>市国防动员办公室</w:t>
            </w:r>
          </w:p>
        </w:tc>
        <w:tc>
          <w:tcPr>
            <w:tcW w:w="2848" w:type="dxa"/>
            <w:noWrap w:val="0"/>
            <w:vAlign w:val="center"/>
          </w:tcPr>
          <w:p w14:paraId="12F74372">
            <w:pPr>
              <w:jc w:val="center"/>
              <w:rPr>
                <w:rFonts w:eastAsia="方正书宋_GBK"/>
                <w:w w:val="90"/>
                <w:sz w:val="24"/>
                <w:szCs w:val="24"/>
              </w:rPr>
            </w:pPr>
            <w:r>
              <w:rPr>
                <w:rFonts w:eastAsia="方正书宋_GBK"/>
                <w:w w:val="90"/>
                <w:sz w:val="24"/>
                <w:szCs w:val="24"/>
              </w:rPr>
              <w:t>025—86631661—8109</w:t>
            </w:r>
          </w:p>
        </w:tc>
      </w:tr>
      <w:tr w14:paraId="078EF8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3B2F8B20">
            <w:pPr>
              <w:jc w:val="center"/>
              <w:rPr>
                <w:rFonts w:hint="eastAsia" w:eastAsia="方正书宋_GBK"/>
                <w:sz w:val="24"/>
                <w:szCs w:val="24"/>
              </w:rPr>
            </w:pPr>
            <w:r>
              <w:rPr>
                <w:rFonts w:hint="eastAsia" w:eastAsia="方正书宋_GBK"/>
                <w:sz w:val="24"/>
                <w:szCs w:val="24"/>
              </w:rPr>
              <w:t>21</w:t>
            </w:r>
          </w:p>
        </w:tc>
        <w:tc>
          <w:tcPr>
            <w:tcW w:w="5207" w:type="dxa"/>
            <w:noWrap w:val="0"/>
            <w:vAlign w:val="center"/>
          </w:tcPr>
          <w:p w14:paraId="03879C14">
            <w:pPr>
              <w:jc w:val="left"/>
              <w:rPr>
                <w:rFonts w:eastAsia="方正书宋_GBK"/>
                <w:sz w:val="24"/>
                <w:szCs w:val="24"/>
              </w:rPr>
            </w:pPr>
            <w:r>
              <w:rPr>
                <w:rFonts w:eastAsia="方正书宋_GBK"/>
                <w:sz w:val="24"/>
                <w:szCs w:val="24"/>
              </w:rPr>
              <w:t>市气象局</w:t>
            </w:r>
          </w:p>
        </w:tc>
        <w:tc>
          <w:tcPr>
            <w:tcW w:w="2848" w:type="dxa"/>
            <w:noWrap w:val="0"/>
            <w:vAlign w:val="center"/>
          </w:tcPr>
          <w:p w14:paraId="637D8651">
            <w:pPr>
              <w:jc w:val="center"/>
              <w:rPr>
                <w:rFonts w:eastAsia="方正书宋_GBK"/>
                <w:sz w:val="24"/>
                <w:szCs w:val="24"/>
              </w:rPr>
            </w:pPr>
            <w:r>
              <w:rPr>
                <w:rFonts w:eastAsia="方正书宋_GBK"/>
                <w:sz w:val="24"/>
                <w:szCs w:val="24"/>
              </w:rPr>
              <w:t>025—58065516</w:t>
            </w:r>
          </w:p>
        </w:tc>
      </w:tr>
      <w:tr w14:paraId="546942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18D6EE04">
            <w:pPr>
              <w:jc w:val="center"/>
              <w:rPr>
                <w:rFonts w:hint="eastAsia" w:eastAsia="方正书宋_GBK"/>
                <w:sz w:val="24"/>
                <w:szCs w:val="24"/>
              </w:rPr>
            </w:pPr>
            <w:r>
              <w:rPr>
                <w:rFonts w:hint="eastAsia" w:eastAsia="方正书宋_GBK"/>
                <w:sz w:val="24"/>
                <w:szCs w:val="24"/>
              </w:rPr>
              <w:t>22</w:t>
            </w:r>
          </w:p>
        </w:tc>
        <w:tc>
          <w:tcPr>
            <w:tcW w:w="5207" w:type="dxa"/>
            <w:noWrap w:val="0"/>
            <w:vAlign w:val="center"/>
          </w:tcPr>
          <w:p w14:paraId="3E5E06BD">
            <w:pPr>
              <w:jc w:val="left"/>
              <w:rPr>
                <w:rFonts w:eastAsia="方正书宋_GBK"/>
                <w:sz w:val="24"/>
                <w:szCs w:val="24"/>
              </w:rPr>
            </w:pPr>
            <w:r>
              <w:rPr>
                <w:rFonts w:eastAsia="方正书宋_GBK"/>
                <w:sz w:val="24"/>
                <w:szCs w:val="24"/>
              </w:rPr>
              <w:t>南京通信行业管理办公室</w:t>
            </w:r>
          </w:p>
        </w:tc>
        <w:tc>
          <w:tcPr>
            <w:tcW w:w="2848" w:type="dxa"/>
            <w:noWrap w:val="0"/>
            <w:vAlign w:val="center"/>
          </w:tcPr>
          <w:p w14:paraId="2EE46499">
            <w:pPr>
              <w:jc w:val="center"/>
              <w:rPr>
                <w:rFonts w:eastAsia="方正书宋_GBK"/>
                <w:sz w:val="24"/>
                <w:szCs w:val="24"/>
              </w:rPr>
            </w:pPr>
            <w:r>
              <w:rPr>
                <w:rFonts w:eastAsia="方正书宋_GBK"/>
                <w:sz w:val="24"/>
                <w:szCs w:val="24"/>
              </w:rPr>
              <w:t>025—85030702</w:t>
            </w:r>
          </w:p>
        </w:tc>
      </w:tr>
      <w:tr w14:paraId="38BD6F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023F0299">
            <w:pPr>
              <w:jc w:val="center"/>
              <w:rPr>
                <w:rFonts w:hint="eastAsia" w:eastAsia="方正书宋_GBK"/>
                <w:sz w:val="24"/>
                <w:szCs w:val="24"/>
              </w:rPr>
            </w:pPr>
            <w:r>
              <w:rPr>
                <w:rFonts w:hint="eastAsia" w:eastAsia="方正书宋_GBK"/>
                <w:sz w:val="24"/>
                <w:szCs w:val="24"/>
              </w:rPr>
              <w:t>23</w:t>
            </w:r>
          </w:p>
        </w:tc>
        <w:tc>
          <w:tcPr>
            <w:tcW w:w="5207" w:type="dxa"/>
            <w:noWrap w:val="0"/>
            <w:vAlign w:val="center"/>
          </w:tcPr>
          <w:p w14:paraId="43F946AF">
            <w:pPr>
              <w:jc w:val="left"/>
              <w:rPr>
                <w:rFonts w:eastAsia="方正书宋_GBK"/>
                <w:sz w:val="24"/>
                <w:szCs w:val="24"/>
              </w:rPr>
            </w:pPr>
            <w:r>
              <w:rPr>
                <w:rFonts w:eastAsia="方正书宋_GBK"/>
                <w:sz w:val="24"/>
                <w:szCs w:val="24"/>
              </w:rPr>
              <w:t>玄武区政府（办公室）</w:t>
            </w:r>
          </w:p>
        </w:tc>
        <w:tc>
          <w:tcPr>
            <w:tcW w:w="2848" w:type="dxa"/>
            <w:noWrap w:val="0"/>
            <w:vAlign w:val="center"/>
          </w:tcPr>
          <w:p w14:paraId="1F5C6533">
            <w:pPr>
              <w:jc w:val="center"/>
              <w:rPr>
                <w:rFonts w:eastAsia="方正书宋_GBK"/>
                <w:sz w:val="24"/>
                <w:szCs w:val="24"/>
              </w:rPr>
            </w:pPr>
            <w:r>
              <w:rPr>
                <w:rFonts w:eastAsia="方正书宋_GBK"/>
                <w:sz w:val="24"/>
                <w:szCs w:val="24"/>
              </w:rPr>
              <w:t>025—83682111</w:t>
            </w:r>
          </w:p>
        </w:tc>
      </w:tr>
      <w:tr w14:paraId="2D97FAA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63BEF727">
            <w:pPr>
              <w:jc w:val="center"/>
              <w:rPr>
                <w:rFonts w:hint="eastAsia" w:eastAsia="方正书宋_GBK"/>
                <w:sz w:val="24"/>
                <w:szCs w:val="24"/>
              </w:rPr>
            </w:pPr>
            <w:r>
              <w:rPr>
                <w:rFonts w:hint="eastAsia" w:eastAsia="方正书宋_GBK"/>
                <w:sz w:val="24"/>
                <w:szCs w:val="24"/>
              </w:rPr>
              <w:t>24</w:t>
            </w:r>
          </w:p>
        </w:tc>
        <w:tc>
          <w:tcPr>
            <w:tcW w:w="5207" w:type="dxa"/>
            <w:noWrap w:val="0"/>
            <w:vAlign w:val="center"/>
          </w:tcPr>
          <w:p w14:paraId="56090989">
            <w:pPr>
              <w:jc w:val="left"/>
              <w:rPr>
                <w:rFonts w:eastAsia="方正书宋_GBK"/>
                <w:sz w:val="24"/>
                <w:szCs w:val="24"/>
              </w:rPr>
            </w:pPr>
            <w:r>
              <w:rPr>
                <w:rFonts w:eastAsia="方正书宋_GBK"/>
                <w:sz w:val="24"/>
                <w:szCs w:val="24"/>
              </w:rPr>
              <w:t>玄武区新街口街道办事处</w:t>
            </w:r>
          </w:p>
        </w:tc>
        <w:tc>
          <w:tcPr>
            <w:tcW w:w="2848" w:type="dxa"/>
            <w:noWrap w:val="0"/>
            <w:vAlign w:val="center"/>
          </w:tcPr>
          <w:p w14:paraId="0539A729">
            <w:pPr>
              <w:jc w:val="center"/>
              <w:rPr>
                <w:rFonts w:eastAsia="方正书宋_GBK"/>
                <w:sz w:val="24"/>
                <w:szCs w:val="24"/>
              </w:rPr>
            </w:pPr>
            <w:r>
              <w:rPr>
                <w:rFonts w:eastAsia="方正书宋_GBK"/>
                <w:sz w:val="24"/>
                <w:szCs w:val="24"/>
              </w:rPr>
              <w:t>025—83287550</w:t>
            </w:r>
          </w:p>
        </w:tc>
      </w:tr>
      <w:tr w14:paraId="2868AB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2ABECABC">
            <w:pPr>
              <w:jc w:val="center"/>
              <w:rPr>
                <w:rFonts w:hint="eastAsia" w:eastAsia="方正书宋_GBK"/>
                <w:sz w:val="24"/>
                <w:szCs w:val="24"/>
              </w:rPr>
            </w:pPr>
            <w:r>
              <w:rPr>
                <w:rFonts w:hint="eastAsia" w:eastAsia="方正书宋_GBK"/>
                <w:sz w:val="24"/>
                <w:szCs w:val="24"/>
              </w:rPr>
              <w:t>25</w:t>
            </w:r>
          </w:p>
        </w:tc>
        <w:tc>
          <w:tcPr>
            <w:tcW w:w="5207" w:type="dxa"/>
            <w:noWrap w:val="0"/>
            <w:vAlign w:val="center"/>
          </w:tcPr>
          <w:p w14:paraId="421AA37E">
            <w:pPr>
              <w:jc w:val="left"/>
              <w:rPr>
                <w:rFonts w:eastAsia="方正书宋_GBK"/>
                <w:sz w:val="24"/>
                <w:szCs w:val="24"/>
              </w:rPr>
            </w:pPr>
            <w:r>
              <w:rPr>
                <w:rFonts w:eastAsia="方正书宋_GBK"/>
                <w:sz w:val="24"/>
                <w:szCs w:val="24"/>
              </w:rPr>
              <w:t>秦淮区政府（办公室）</w:t>
            </w:r>
          </w:p>
        </w:tc>
        <w:tc>
          <w:tcPr>
            <w:tcW w:w="2848" w:type="dxa"/>
            <w:noWrap w:val="0"/>
            <w:vAlign w:val="center"/>
          </w:tcPr>
          <w:p w14:paraId="594F6188">
            <w:pPr>
              <w:jc w:val="center"/>
              <w:rPr>
                <w:rFonts w:eastAsia="方正书宋_GBK"/>
                <w:sz w:val="24"/>
                <w:szCs w:val="24"/>
              </w:rPr>
            </w:pPr>
            <w:r>
              <w:rPr>
                <w:rFonts w:eastAsia="方正书宋_GBK"/>
                <w:sz w:val="24"/>
                <w:szCs w:val="24"/>
              </w:rPr>
              <w:t>025—84556000</w:t>
            </w:r>
          </w:p>
        </w:tc>
      </w:tr>
      <w:tr w14:paraId="4EB88D2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6F6C7025">
            <w:pPr>
              <w:jc w:val="center"/>
              <w:rPr>
                <w:rFonts w:hint="eastAsia" w:eastAsia="方正书宋_GBK"/>
                <w:sz w:val="24"/>
                <w:szCs w:val="24"/>
              </w:rPr>
            </w:pPr>
            <w:r>
              <w:rPr>
                <w:rFonts w:hint="eastAsia" w:eastAsia="方正书宋_GBK"/>
                <w:sz w:val="24"/>
                <w:szCs w:val="24"/>
              </w:rPr>
              <w:t>26</w:t>
            </w:r>
          </w:p>
        </w:tc>
        <w:tc>
          <w:tcPr>
            <w:tcW w:w="5207" w:type="dxa"/>
            <w:noWrap w:val="0"/>
            <w:vAlign w:val="center"/>
          </w:tcPr>
          <w:p w14:paraId="058AABE4">
            <w:pPr>
              <w:jc w:val="left"/>
              <w:rPr>
                <w:rFonts w:eastAsia="方正书宋_GBK"/>
                <w:sz w:val="24"/>
                <w:szCs w:val="24"/>
              </w:rPr>
            </w:pPr>
            <w:r>
              <w:rPr>
                <w:rFonts w:eastAsia="方正书宋_GBK"/>
                <w:sz w:val="24"/>
                <w:szCs w:val="24"/>
              </w:rPr>
              <w:t>秦淮区新街口金融商务区管理委员会</w:t>
            </w:r>
          </w:p>
        </w:tc>
        <w:tc>
          <w:tcPr>
            <w:tcW w:w="2848" w:type="dxa"/>
            <w:noWrap w:val="0"/>
            <w:vAlign w:val="center"/>
          </w:tcPr>
          <w:p w14:paraId="1E0DA025">
            <w:pPr>
              <w:jc w:val="center"/>
              <w:rPr>
                <w:rFonts w:eastAsia="方正书宋_GBK"/>
                <w:sz w:val="24"/>
                <w:szCs w:val="24"/>
              </w:rPr>
            </w:pPr>
            <w:r>
              <w:rPr>
                <w:rFonts w:eastAsia="方正书宋_GBK"/>
                <w:sz w:val="24"/>
                <w:szCs w:val="24"/>
              </w:rPr>
              <w:t>025—84707303</w:t>
            </w:r>
          </w:p>
        </w:tc>
      </w:tr>
      <w:tr w14:paraId="542364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4E894F84">
            <w:pPr>
              <w:jc w:val="center"/>
              <w:rPr>
                <w:rFonts w:hint="eastAsia" w:eastAsia="方正书宋_GBK"/>
                <w:sz w:val="24"/>
                <w:szCs w:val="24"/>
              </w:rPr>
            </w:pPr>
            <w:r>
              <w:rPr>
                <w:rFonts w:hint="eastAsia" w:eastAsia="方正书宋_GBK"/>
                <w:sz w:val="24"/>
                <w:szCs w:val="24"/>
              </w:rPr>
              <w:t>27</w:t>
            </w:r>
          </w:p>
        </w:tc>
        <w:tc>
          <w:tcPr>
            <w:tcW w:w="5207" w:type="dxa"/>
            <w:noWrap w:val="0"/>
            <w:vAlign w:val="center"/>
          </w:tcPr>
          <w:p w14:paraId="5DD5CF39">
            <w:pPr>
              <w:jc w:val="left"/>
              <w:rPr>
                <w:rFonts w:eastAsia="方正书宋_GBK"/>
                <w:sz w:val="24"/>
                <w:szCs w:val="24"/>
              </w:rPr>
            </w:pPr>
            <w:r>
              <w:rPr>
                <w:rFonts w:eastAsia="方正书宋_GBK"/>
                <w:sz w:val="24"/>
                <w:szCs w:val="24"/>
              </w:rPr>
              <w:t>鼓楼区政府（办公室）</w:t>
            </w:r>
          </w:p>
        </w:tc>
        <w:tc>
          <w:tcPr>
            <w:tcW w:w="2848" w:type="dxa"/>
            <w:noWrap w:val="0"/>
            <w:vAlign w:val="center"/>
          </w:tcPr>
          <w:p w14:paraId="1BB12CD7">
            <w:pPr>
              <w:jc w:val="center"/>
              <w:rPr>
                <w:rFonts w:eastAsia="方正书宋_GBK"/>
                <w:sz w:val="24"/>
                <w:szCs w:val="24"/>
              </w:rPr>
            </w:pPr>
            <w:r>
              <w:rPr>
                <w:rFonts w:eastAsia="方正书宋_GBK"/>
                <w:sz w:val="24"/>
                <w:szCs w:val="24"/>
              </w:rPr>
              <w:t>025—83230227</w:t>
            </w:r>
          </w:p>
        </w:tc>
      </w:tr>
      <w:tr w14:paraId="0F9597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1607BB47">
            <w:pPr>
              <w:jc w:val="center"/>
              <w:rPr>
                <w:rFonts w:hint="eastAsia" w:eastAsia="方正书宋_GBK"/>
                <w:sz w:val="24"/>
                <w:szCs w:val="24"/>
              </w:rPr>
            </w:pPr>
            <w:r>
              <w:rPr>
                <w:rFonts w:hint="eastAsia" w:eastAsia="方正书宋_GBK"/>
                <w:sz w:val="24"/>
                <w:szCs w:val="24"/>
              </w:rPr>
              <w:t>28</w:t>
            </w:r>
          </w:p>
        </w:tc>
        <w:tc>
          <w:tcPr>
            <w:tcW w:w="5207" w:type="dxa"/>
            <w:noWrap w:val="0"/>
            <w:vAlign w:val="center"/>
          </w:tcPr>
          <w:p w14:paraId="2C9FAF11">
            <w:pPr>
              <w:jc w:val="left"/>
              <w:rPr>
                <w:rFonts w:eastAsia="方正书宋_GBK"/>
                <w:sz w:val="24"/>
                <w:szCs w:val="24"/>
              </w:rPr>
            </w:pPr>
            <w:r>
              <w:rPr>
                <w:rFonts w:eastAsia="方正书宋_GBK"/>
                <w:sz w:val="24"/>
                <w:szCs w:val="24"/>
              </w:rPr>
              <w:t>鼓楼区华侨路街道办事处</w:t>
            </w:r>
          </w:p>
        </w:tc>
        <w:tc>
          <w:tcPr>
            <w:tcW w:w="2848" w:type="dxa"/>
            <w:noWrap w:val="0"/>
            <w:vAlign w:val="center"/>
          </w:tcPr>
          <w:p w14:paraId="513DAA28">
            <w:pPr>
              <w:jc w:val="center"/>
              <w:rPr>
                <w:rFonts w:eastAsia="方正书宋_GBK"/>
                <w:sz w:val="24"/>
                <w:szCs w:val="24"/>
              </w:rPr>
            </w:pPr>
            <w:r>
              <w:rPr>
                <w:rFonts w:eastAsia="方正书宋_GBK"/>
                <w:sz w:val="24"/>
                <w:szCs w:val="24"/>
              </w:rPr>
              <w:t>025—84719009</w:t>
            </w:r>
          </w:p>
        </w:tc>
      </w:tr>
      <w:tr w14:paraId="79A2CE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56146402">
            <w:pPr>
              <w:jc w:val="center"/>
              <w:rPr>
                <w:rFonts w:hint="eastAsia" w:eastAsia="方正书宋_GBK"/>
                <w:sz w:val="24"/>
                <w:szCs w:val="24"/>
              </w:rPr>
            </w:pPr>
            <w:r>
              <w:rPr>
                <w:rFonts w:hint="eastAsia" w:eastAsia="方正书宋_GBK"/>
                <w:sz w:val="24"/>
                <w:szCs w:val="24"/>
              </w:rPr>
              <w:t>29</w:t>
            </w:r>
          </w:p>
        </w:tc>
        <w:tc>
          <w:tcPr>
            <w:tcW w:w="5207" w:type="dxa"/>
            <w:noWrap w:val="0"/>
            <w:vAlign w:val="center"/>
          </w:tcPr>
          <w:p w14:paraId="4D25D346">
            <w:pPr>
              <w:jc w:val="left"/>
              <w:rPr>
                <w:rFonts w:eastAsia="方正书宋_GBK"/>
                <w:sz w:val="24"/>
                <w:szCs w:val="24"/>
              </w:rPr>
            </w:pPr>
            <w:r>
              <w:rPr>
                <w:rFonts w:eastAsia="方正书宋_GBK"/>
                <w:sz w:val="24"/>
                <w:szCs w:val="24"/>
              </w:rPr>
              <w:t>南京城建集团（市公交集团）</w:t>
            </w:r>
          </w:p>
        </w:tc>
        <w:tc>
          <w:tcPr>
            <w:tcW w:w="2848" w:type="dxa"/>
            <w:noWrap w:val="0"/>
            <w:vAlign w:val="center"/>
          </w:tcPr>
          <w:p w14:paraId="51A9FFAE">
            <w:pPr>
              <w:jc w:val="center"/>
              <w:rPr>
                <w:rFonts w:eastAsia="方正书宋_GBK"/>
                <w:sz w:val="24"/>
                <w:szCs w:val="24"/>
              </w:rPr>
            </w:pPr>
            <w:r>
              <w:rPr>
                <w:rFonts w:eastAsia="方正书宋_GBK"/>
                <w:sz w:val="24"/>
                <w:szCs w:val="24"/>
              </w:rPr>
              <w:t>025—83199100</w:t>
            </w:r>
          </w:p>
        </w:tc>
      </w:tr>
      <w:tr w14:paraId="37BDDE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1AE715CF">
            <w:pPr>
              <w:jc w:val="center"/>
              <w:rPr>
                <w:rFonts w:hint="eastAsia" w:eastAsia="方正书宋_GBK"/>
                <w:sz w:val="24"/>
                <w:szCs w:val="24"/>
              </w:rPr>
            </w:pPr>
            <w:r>
              <w:rPr>
                <w:rFonts w:hint="eastAsia" w:eastAsia="方正书宋_GBK"/>
                <w:sz w:val="24"/>
                <w:szCs w:val="24"/>
              </w:rPr>
              <w:t>30</w:t>
            </w:r>
          </w:p>
        </w:tc>
        <w:tc>
          <w:tcPr>
            <w:tcW w:w="5207" w:type="dxa"/>
            <w:noWrap w:val="0"/>
            <w:vAlign w:val="center"/>
          </w:tcPr>
          <w:p w14:paraId="226EF425">
            <w:pPr>
              <w:jc w:val="left"/>
              <w:rPr>
                <w:rFonts w:eastAsia="方正书宋_GBK"/>
                <w:sz w:val="24"/>
                <w:szCs w:val="24"/>
              </w:rPr>
            </w:pPr>
            <w:r>
              <w:rPr>
                <w:rFonts w:eastAsia="方正书宋_GBK"/>
                <w:sz w:val="24"/>
                <w:szCs w:val="24"/>
              </w:rPr>
              <w:t>南京供电公司</w:t>
            </w:r>
          </w:p>
        </w:tc>
        <w:tc>
          <w:tcPr>
            <w:tcW w:w="2848" w:type="dxa"/>
            <w:noWrap w:val="0"/>
            <w:vAlign w:val="center"/>
          </w:tcPr>
          <w:p w14:paraId="34652AEA">
            <w:pPr>
              <w:jc w:val="center"/>
              <w:rPr>
                <w:rFonts w:eastAsia="方正书宋_GBK"/>
                <w:sz w:val="24"/>
                <w:szCs w:val="24"/>
              </w:rPr>
            </w:pPr>
            <w:r>
              <w:rPr>
                <w:rFonts w:eastAsia="方正书宋_GBK"/>
                <w:sz w:val="24"/>
                <w:szCs w:val="24"/>
              </w:rPr>
              <w:t>025—84222101</w:t>
            </w:r>
          </w:p>
        </w:tc>
      </w:tr>
      <w:tr w14:paraId="24843F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750C9F04">
            <w:pPr>
              <w:jc w:val="center"/>
              <w:rPr>
                <w:rFonts w:hint="eastAsia" w:eastAsia="方正书宋_GBK"/>
                <w:sz w:val="24"/>
                <w:szCs w:val="24"/>
              </w:rPr>
            </w:pPr>
            <w:r>
              <w:rPr>
                <w:rFonts w:hint="eastAsia" w:eastAsia="方正书宋_GBK"/>
                <w:sz w:val="24"/>
                <w:szCs w:val="24"/>
              </w:rPr>
              <w:t>31</w:t>
            </w:r>
          </w:p>
        </w:tc>
        <w:tc>
          <w:tcPr>
            <w:tcW w:w="5207" w:type="dxa"/>
            <w:noWrap w:val="0"/>
            <w:vAlign w:val="center"/>
          </w:tcPr>
          <w:p w14:paraId="08DB0353">
            <w:pPr>
              <w:jc w:val="left"/>
              <w:rPr>
                <w:rFonts w:eastAsia="方正书宋_GBK"/>
                <w:sz w:val="24"/>
                <w:szCs w:val="24"/>
              </w:rPr>
            </w:pPr>
            <w:r>
              <w:rPr>
                <w:rFonts w:hint="eastAsia" w:eastAsia="方正书宋_GBK"/>
                <w:sz w:val="24"/>
                <w:szCs w:val="24"/>
              </w:rPr>
              <w:t>东方福来德/国际金融中心</w:t>
            </w:r>
          </w:p>
        </w:tc>
        <w:tc>
          <w:tcPr>
            <w:tcW w:w="2848" w:type="dxa"/>
            <w:noWrap w:val="0"/>
            <w:vAlign w:val="center"/>
          </w:tcPr>
          <w:p w14:paraId="16FCC337">
            <w:pPr>
              <w:jc w:val="center"/>
              <w:rPr>
                <w:rFonts w:eastAsia="方正书宋_GBK"/>
                <w:sz w:val="24"/>
                <w:szCs w:val="24"/>
              </w:rPr>
            </w:pPr>
            <w:r>
              <w:rPr>
                <w:rFonts w:hint="eastAsia" w:eastAsia="方正书宋_GBK"/>
                <w:sz w:val="24"/>
                <w:szCs w:val="24"/>
              </w:rPr>
              <w:t>025—</w:t>
            </w:r>
            <w:r>
              <w:rPr>
                <w:rFonts w:eastAsia="方正书宋_GBK"/>
                <w:sz w:val="24"/>
                <w:szCs w:val="24"/>
              </w:rPr>
              <w:t>84775540</w:t>
            </w:r>
          </w:p>
        </w:tc>
      </w:tr>
      <w:tr w14:paraId="7373AA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445F2A12">
            <w:pPr>
              <w:jc w:val="center"/>
              <w:rPr>
                <w:rFonts w:hint="eastAsia" w:eastAsia="方正书宋_GBK"/>
                <w:sz w:val="24"/>
                <w:szCs w:val="24"/>
              </w:rPr>
            </w:pPr>
            <w:r>
              <w:rPr>
                <w:rFonts w:hint="eastAsia" w:eastAsia="方正书宋_GBK"/>
                <w:sz w:val="24"/>
                <w:szCs w:val="24"/>
              </w:rPr>
              <w:t>32</w:t>
            </w:r>
          </w:p>
        </w:tc>
        <w:tc>
          <w:tcPr>
            <w:tcW w:w="5207" w:type="dxa"/>
            <w:noWrap w:val="0"/>
            <w:vAlign w:val="center"/>
          </w:tcPr>
          <w:p w14:paraId="338C9DBB">
            <w:pPr>
              <w:jc w:val="left"/>
              <w:rPr>
                <w:rFonts w:eastAsia="方正书宋_GBK"/>
                <w:sz w:val="24"/>
                <w:szCs w:val="24"/>
              </w:rPr>
            </w:pPr>
            <w:r>
              <w:rPr>
                <w:rFonts w:hint="eastAsia" w:eastAsia="方正书宋_GBK"/>
                <w:sz w:val="24"/>
                <w:szCs w:val="24"/>
              </w:rPr>
              <w:t>德基广场</w:t>
            </w:r>
          </w:p>
        </w:tc>
        <w:tc>
          <w:tcPr>
            <w:tcW w:w="2848" w:type="dxa"/>
            <w:noWrap w:val="0"/>
            <w:vAlign w:val="center"/>
          </w:tcPr>
          <w:p w14:paraId="22DD1635">
            <w:pPr>
              <w:jc w:val="center"/>
              <w:rPr>
                <w:rFonts w:eastAsia="方正书宋_GBK"/>
                <w:sz w:val="24"/>
                <w:szCs w:val="24"/>
              </w:rPr>
            </w:pPr>
            <w:r>
              <w:rPr>
                <w:rFonts w:hint="eastAsia" w:eastAsia="方正书宋_GBK"/>
                <w:sz w:val="24"/>
                <w:szCs w:val="24"/>
              </w:rPr>
              <w:t>025—</w:t>
            </w:r>
            <w:r>
              <w:rPr>
                <w:rFonts w:eastAsia="方正书宋_GBK"/>
                <w:sz w:val="24"/>
                <w:szCs w:val="24"/>
              </w:rPr>
              <w:t>86777011</w:t>
            </w:r>
          </w:p>
        </w:tc>
      </w:tr>
      <w:tr w14:paraId="3D747F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216B92D4">
            <w:pPr>
              <w:jc w:val="center"/>
              <w:rPr>
                <w:rFonts w:hint="eastAsia" w:eastAsia="方正书宋_GBK"/>
                <w:sz w:val="24"/>
                <w:szCs w:val="24"/>
              </w:rPr>
            </w:pPr>
            <w:r>
              <w:rPr>
                <w:rFonts w:hint="eastAsia" w:eastAsia="方正书宋_GBK"/>
                <w:sz w:val="24"/>
                <w:szCs w:val="24"/>
              </w:rPr>
              <w:t>33</w:t>
            </w:r>
          </w:p>
        </w:tc>
        <w:tc>
          <w:tcPr>
            <w:tcW w:w="5207" w:type="dxa"/>
            <w:noWrap w:val="0"/>
            <w:vAlign w:val="center"/>
          </w:tcPr>
          <w:p w14:paraId="72420D79">
            <w:pPr>
              <w:jc w:val="left"/>
              <w:rPr>
                <w:rFonts w:eastAsia="方正书宋_GBK"/>
                <w:sz w:val="24"/>
                <w:szCs w:val="24"/>
              </w:rPr>
            </w:pPr>
            <w:r>
              <w:rPr>
                <w:rFonts w:hint="eastAsia" w:eastAsia="方正书宋_GBK"/>
                <w:sz w:val="24"/>
                <w:szCs w:val="24"/>
              </w:rPr>
              <w:t>新百</w:t>
            </w:r>
          </w:p>
        </w:tc>
        <w:tc>
          <w:tcPr>
            <w:tcW w:w="2848" w:type="dxa"/>
            <w:noWrap w:val="0"/>
            <w:vAlign w:val="center"/>
          </w:tcPr>
          <w:p w14:paraId="482BE209">
            <w:pPr>
              <w:jc w:val="center"/>
              <w:rPr>
                <w:rFonts w:eastAsia="方正书宋_GBK"/>
                <w:sz w:val="24"/>
                <w:szCs w:val="24"/>
              </w:rPr>
            </w:pPr>
            <w:r>
              <w:rPr>
                <w:rFonts w:hint="eastAsia" w:eastAsia="方正书宋_GBK"/>
                <w:sz w:val="24"/>
                <w:szCs w:val="24"/>
              </w:rPr>
              <w:t>025—</w:t>
            </w:r>
            <w:r>
              <w:rPr>
                <w:rFonts w:eastAsia="方正书宋_GBK"/>
                <w:sz w:val="24"/>
                <w:szCs w:val="24"/>
              </w:rPr>
              <w:t>84761889</w:t>
            </w:r>
          </w:p>
        </w:tc>
      </w:tr>
      <w:tr w14:paraId="0DB2ED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50116A7E">
            <w:pPr>
              <w:jc w:val="center"/>
              <w:rPr>
                <w:rFonts w:hint="eastAsia" w:eastAsia="方正书宋_GBK"/>
                <w:sz w:val="24"/>
                <w:szCs w:val="24"/>
              </w:rPr>
            </w:pPr>
            <w:r>
              <w:rPr>
                <w:rFonts w:hint="eastAsia" w:eastAsia="方正书宋_GBK"/>
                <w:sz w:val="24"/>
                <w:szCs w:val="24"/>
              </w:rPr>
              <w:t>34</w:t>
            </w:r>
          </w:p>
        </w:tc>
        <w:tc>
          <w:tcPr>
            <w:tcW w:w="5207" w:type="dxa"/>
            <w:noWrap w:val="0"/>
            <w:vAlign w:val="center"/>
          </w:tcPr>
          <w:p w14:paraId="59F56204">
            <w:pPr>
              <w:jc w:val="left"/>
              <w:rPr>
                <w:rFonts w:eastAsia="方正书宋_GBK"/>
                <w:sz w:val="24"/>
                <w:szCs w:val="24"/>
              </w:rPr>
            </w:pPr>
            <w:r>
              <w:rPr>
                <w:rFonts w:hint="eastAsia" w:eastAsia="方正书宋_GBK"/>
                <w:sz w:val="24"/>
                <w:szCs w:val="24"/>
              </w:rPr>
              <w:t>莱迪购物广场</w:t>
            </w:r>
          </w:p>
        </w:tc>
        <w:tc>
          <w:tcPr>
            <w:tcW w:w="2848" w:type="dxa"/>
            <w:noWrap w:val="0"/>
            <w:vAlign w:val="center"/>
          </w:tcPr>
          <w:p w14:paraId="68E1216B">
            <w:pPr>
              <w:jc w:val="center"/>
              <w:rPr>
                <w:rFonts w:eastAsia="方正书宋_GBK"/>
                <w:sz w:val="24"/>
                <w:szCs w:val="24"/>
              </w:rPr>
            </w:pPr>
            <w:r>
              <w:rPr>
                <w:rFonts w:hint="eastAsia" w:eastAsia="方正书宋_GBK"/>
                <w:sz w:val="24"/>
                <w:szCs w:val="24"/>
              </w:rPr>
              <w:t>025—</w:t>
            </w:r>
            <w:r>
              <w:rPr>
                <w:rFonts w:eastAsia="方正书宋_GBK"/>
                <w:sz w:val="24"/>
                <w:szCs w:val="24"/>
              </w:rPr>
              <w:t>84760881</w:t>
            </w:r>
          </w:p>
        </w:tc>
      </w:tr>
      <w:tr w14:paraId="47C770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10B86C07">
            <w:pPr>
              <w:jc w:val="center"/>
              <w:rPr>
                <w:rFonts w:hint="eastAsia" w:eastAsia="方正书宋_GBK"/>
                <w:sz w:val="24"/>
                <w:szCs w:val="24"/>
              </w:rPr>
            </w:pPr>
            <w:r>
              <w:rPr>
                <w:rFonts w:hint="eastAsia" w:eastAsia="方正书宋_GBK"/>
                <w:sz w:val="24"/>
                <w:szCs w:val="24"/>
              </w:rPr>
              <w:t>35</w:t>
            </w:r>
          </w:p>
        </w:tc>
        <w:tc>
          <w:tcPr>
            <w:tcW w:w="5207" w:type="dxa"/>
            <w:noWrap w:val="0"/>
            <w:vAlign w:val="center"/>
          </w:tcPr>
          <w:p w14:paraId="154CEE8D">
            <w:pPr>
              <w:jc w:val="left"/>
              <w:rPr>
                <w:rFonts w:eastAsia="方正书宋_GBK"/>
                <w:sz w:val="24"/>
                <w:szCs w:val="24"/>
              </w:rPr>
            </w:pPr>
            <w:r>
              <w:rPr>
                <w:rFonts w:hint="eastAsia" w:eastAsia="方正书宋_GBK"/>
                <w:sz w:val="24"/>
                <w:szCs w:val="24"/>
              </w:rPr>
              <w:t>商贸世纪广场</w:t>
            </w:r>
          </w:p>
        </w:tc>
        <w:tc>
          <w:tcPr>
            <w:tcW w:w="2848" w:type="dxa"/>
            <w:noWrap w:val="0"/>
            <w:vAlign w:val="center"/>
          </w:tcPr>
          <w:p w14:paraId="6C9A6F0C">
            <w:pPr>
              <w:jc w:val="center"/>
              <w:rPr>
                <w:rFonts w:eastAsia="方正书宋_GBK"/>
                <w:sz w:val="24"/>
                <w:szCs w:val="24"/>
              </w:rPr>
            </w:pPr>
            <w:r>
              <w:rPr>
                <w:rFonts w:hint="eastAsia" w:eastAsia="方正书宋_GBK"/>
                <w:sz w:val="24"/>
                <w:szCs w:val="24"/>
              </w:rPr>
              <w:t>025—</w:t>
            </w:r>
            <w:r>
              <w:rPr>
                <w:rFonts w:eastAsia="方正书宋_GBK"/>
                <w:sz w:val="24"/>
                <w:szCs w:val="24"/>
              </w:rPr>
              <w:t>86893110</w:t>
            </w:r>
          </w:p>
        </w:tc>
      </w:tr>
      <w:tr w14:paraId="788207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703126F1">
            <w:pPr>
              <w:jc w:val="center"/>
              <w:rPr>
                <w:rFonts w:hint="eastAsia" w:eastAsia="方正书宋_GBK"/>
                <w:sz w:val="24"/>
                <w:szCs w:val="24"/>
              </w:rPr>
            </w:pPr>
            <w:r>
              <w:rPr>
                <w:rFonts w:hint="eastAsia" w:eastAsia="方正书宋_GBK"/>
                <w:sz w:val="24"/>
                <w:szCs w:val="24"/>
              </w:rPr>
              <w:t>36</w:t>
            </w:r>
          </w:p>
        </w:tc>
        <w:tc>
          <w:tcPr>
            <w:tcW w:w="5207" w:type="dxa"/>
            <w:noWrap w:val="0"/>
            <w:vAlign w:val="center"/>
          </w:tcPr>
          <w:p w14:paraId="00A68493">
            <w:pPr>
              <w:jc w:val="left"/>
              <w:rPr>
                <w:rFonts w:eastAsia="方正书宋_GBK"/>
                <w:sz w:val="24"/>
                <w:szCs w:val="24"/>
              </w:rPr>
            </w:pPr>
            <w:r>
              <w:rPr>
                <w:rFonts w:hint="eastAsia" w:eastAsia="方正书宋_GBK"/>
                <w:sz w:val="24"/>
                <w:szCs w:val="24"/>
              </w:rPr>
              <w:t>中央商场</w:t>
            </w:r>
          </w:p>
        </w:tc>
        <w:tc>
          <w:tcPr>
            <w:tcW w:w="2848" w:type="dxa"/>
            <w:noWrap w:val="0"/>
            <w:vAlign w:val="center"/>
          </w:tcPr>
          <w:p w14:paraId="2A6B6C04">
            <w:pPr>
              <w:jc w:val="center"/>
              <w:rPr>
                <w:rFonts w:eastAsia="方正书宋_GBK"/>
                <w:sz w:val="24"/>
                <w:szCs w:val="24"/>
              </w:rPr>
            </w:pPr>
            <w:r>
              <w:rPr>
                <w:rFonts w:hint="eastAsia" w:eastAsia="方正书宋_GBK"/>
                <w:sz w:val="24"/>
                <w:szCs w:val="24"/>
              </w:rPr>
              <w:t>025—</w:t>
            </w:r>
            <w:r>
              <w:rPr>
                <w:rFonts w:eastAsia="方正书宋_GBK"/>
                <w:sz w:val="24"/>
                <w:szCs w:val="24"/>
              </w:rPr>
              <w:t>84719949</w:t>
            </w:r>
          </w:p>
        </w:tc>
      </w:tr>
      <w:tr w14:paraId="4E21A0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0A5B1B49">
            <w:pPr>
              <w:jc w:val="center"/>
              <w:rPr>
                <w:rFonts w:hint="eastAsia" w:eastAsia="方正书宋_GBK"/>
                <w:sz w:val="24"/>
                <w:szCs w:val="24"/>
              </w:rPr>
            </w:pPr>
            <w:r>
              <w:rPr>
                <w:rFonts w:hint="eastAsia" w:eastAsia="方正书宋_GBK"/>
                <w:sz w:val="24"/>
                <w:szCs w:val="24"/>
              </w:rPr>
              <w:t>37</w:t>
            </w:r>
          </w:p>
        </w:tc>
        <w:tc>
          <w:tcPr>
            <w:tcW w:w="5207" w:type="dxa"/>
            <w:noWrap w:val="0"/>
            <w:vAlign w:val="center"/>
          </w:tcPr>
          <w:p w14:paraId="47868F15">
            <w:pPr>
              <w:jc w:val="left"/>
              <w:rPr>
                <w:rFonts w:eastAsia="方正书宋_GBK"/>
                <w:sz w:val="24"/>
                <w:szCs w:val="24"/>
              </w:rPr>
            </w:pPr>
            <w:r>
              <w:rPr>
                <w:rFonts w:hint="eastAsia" w:eastAsia="方正书宋_GBK"/>
                <w:sz w:val="24"/>
                <w:szCs w:val="24"/>
              </w:rPr>
              <w:t>大洋百货</w:t>
            </w:r>
          </w:p>
        </w:tc>
        <w:tc>
          <w:tcPr>
            <w:tcW w:w="2848" w:type="dxa"/>
            <w:noWrap w:val="0"/>
            <w:vAlign w:val="center"/>
          </w:tcPr>
          <w:p w14:paraId="493D168F">
            <w:pPr>
              <w:jc w:val="center"/>
              <w:rPr>
                <w:rFonts w:eastAsia="方正书宋_GBK"/>
                <w:sz w:val="24"/>
                <w:szCs w:val="24"/>
              </w:rPr>
            </w:pPr>
            <w:r>
              <w:rPr>
                <w:rFonts w:hint="eastAsia" w:eastAsia="方正书宋_GBK"/>
                <w:sz w:val="24"/>
                <w:szCs w:val="24"/>
              </w:rPr>
              <w:t>025—</w:t>
            </w:r>
            <w:r>
              <w:rPr>
                <w:rFonts w:eastAsia="方正书宋_GBK"/>
                <w:sz w:val="24"/>
                <w:szCs w:val="24"/>
              </w:rPr>
              <w:t>84734130</w:t>
            </w:r>
          </w:p>
        </w:tc>
      </w:tr>
      <w:tr w14:paraId="2AE18C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0CDCAA75">
            <w:pPr>
              <w:jc w:val="center"/>
              <w:rPr>
                <w:rFonts w:hint="eastAsia" w:eastAsia="方正书宋_GBK"/>
                <w:sz w:val="24"/>
                <w:szCs w:val="24"/>
              </w:rPr>
            </w:pPr>
            <w:r>
              <w:rPr>
                <w:rFonts w:hint="eastAsia" w:eastAsia="方正书宋_GBK"/>
                <w:sz w:val="24"/>
                <w:szCs w:val="24"/>
              </w:rPr>
              <w:t>38</w:t>
            </w:r>
          </w:p>
        </w:tc>
        <w:tc>
          <w:tcPr>
            <w:tcW w:w="5207" w:type="dxa"/>
            <w:noWrap w:val="0"/>
            <w:vAlign w:val="center"/>
          </w:tcPr>
          <w:p w14:paraId="6E51DB64">
            <w:pPr>
              <w:jc w:val="left"/>
              <w:rPr>
                <w:rFonts w:eastAsia="方正书宋_GBK"/>
                <w:sz w:val="24"/>
                <w:szCs w:val="24"/>
              </w:rPr>
            </w:pPr>
            <w:r>
              <w:rPr>
                <w:rFonts w:hint="eastAsia" w:eastAsia="方正书宋_GBK"/>
                <w:sz w:val="24"/>
                <w:szCs w:val="24"/>
              </w:rPr>
              <w:t>金鹰</w:t>
            </w:r>
          </w:p>
        </w:tc>
        <w:tc>
          <w:tcPr>
            <w:tcW w:w="2848" w:type="dxa"/>
            <w:noWrap w:val="0"/>
            <w:vAlign w:val="center"/>
          </w:tcPr>
          <w:p w14:paraId="58844AFB">
            <w:pPr>
              <w:jc w:val="center"/>
              <w:rPr>
                <w:rFonts w:eastAsia="方正书宋_GBK"/>
                <w:sz w:val="24"/>
                <w:szCs w:val="24"/>
              </w:rPr>
            </w:pPr>
            <w:r>
              <w:rPr>
                <w:rFonts w:hint="eastAsia" w:eastAsia="方正书宋_GBK"/>
                <w:sz w:val="24"/>
                <w:szCs w:val="24"/>
              </w:rPr>
              <w:t>025—</w:t>
            </w:r>
            <w:r>
              <w:rPr>
                <w:rFonts w:eastAsia="方正书宋_GBK"/>
                <w:sz w:val="24"/>
                <w:szCs w:val="24"/>
              </w:rPr>
              <w:t>83111905</w:t>
            </w:r>
          </w:p>
        </w:tc>
      </w:tr>
      <w:tr w14:paraId="7E466D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07" w:type="dxa"/>
            <w:noWrap w:val="0"/>
            <w:vAlign w:val="center"/>
          </w:tcPr>
          <w:p w14:paraId="2828DA91">
            <w:pPr>
              <w:jc w:val="center"/>
              <w:rPr>
                <w:rFonts w:hint="eastAsia" w:eastAsia="方正书宋_GBK"/>
                <w:sz w:val="24"/>
                <w:szCs w:val="24"/>
              </w:rPr>
            </w:pPr>
            <w:r>
              <w:rPr>
                <w:rFonts w:hint="eastAsia" w:eastAsia="方正书宋_GBK"/>
                <w:sz w:val="24"/>
                <w:szCs w:val="24"/>
              </w:rPr>
              <w:t>39</w:t>
            </w:r>
          </w:p>
        </w:tc>
        <w:tc>
          <w:tcPr>
            <w:tcW w:w="5207" w:type="dxa"/>
            <w:noWrap w:val="0"/>
            <w:vAlign w:val="center"/>
          </w:tcPr>
          <w:p w14:paraId="48325F10">
            <w:pPr>
              <w:jc w:val="left"/>
              <w:rPr>
                <w:rFonts w:eastAsia="方正书宋_GBK"/>
                <w:sz w:val="24"/>
                <w:szCs w:val="24"/>
              </w:rPr>
            </w:pPr>
            <w:r>
              <w:rPr>
                <w:rFonts w:hint="eastAsia" w:eastAsia="方正书宋_GBK"/>
                <w:sz w:val="24"/>
                <w:szCs w:val="24"/>
              </w:rPr>
              <w:t>友谊广场</w:t>
            </w:r>
          </w:p>
        </w:tc>
        <w:tc>
          <w:tcPr>
            <w:tcW w:w="2848" w:type="dxa"/>
            <w:noWrap w:val="0"/>
            <w:vAlign w:val="center"/>
          </w:tcPr>
          <w:p w14:paraId="73F537ED">
            <w:pPr>
              <w:jc w:val="center"/>
              <w:rPr>
                <w:rFonts w:eastAsia="方正书宋_GBK"/>
                <w:sz w:val="24"/>
                <w:szCs w:val="24"/>
              </w:rPr>
            </w:pPr>
            <w:r>
              <w:rPr>
                <w:rFonts w:hint="eastAsia" w:eastAsia="方正书宋_GBK"/>
                <w:sz w:val="24"/>
                <w:szCs w:val="24"/>
              </w:rPr>
              <w:t>025—</w:t>
            </w:r>
            <w:r>
              <w:rPr>
                <w:rFonts w:eastAsia="方正书宋_GBK"/>
                <w:sz w:val="24"/>
                <w:szCs w:val="24"/>
              </w:rPr>
              <w:t>86539110</w:t>
            </w:r>
          </w:p>
        </w:tc>
      </w:tr>
    </w:tbl>
    <w:p w14:paraId="5E030EA1">
      <w:bookmarkStart w:id="214" w:name="_GoBack"/>
      <w:bookmarkEnd w:id="214"/>
    </w:p>
    <w:sectPr>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3000509000000000000"/>
    <w:charset w:val="86"/>
    <w:family w:val="script"/>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MS Gothic">
    <w:panose1 w:val="020B0609070205080204"/>
    <w:charset w:val="80"/>
    <w:family w:val="modern"/>
    <w:pitch w:val="default"/>
    <w:sig w:usb0="E00002FF" w:usb1="6AC7FDFB" w:usb2="00000012" w:usb3="00000000" w:csb0="4002009F" w:csb1="DFD70000"/>
  </w:font>
  <w:font w:name="方正书宋_GBK">
    <w:altName w:val="微软雅黑"/>
    <w:panose1 w:val="03000509000000000000"/>
    <w:charset w:val="86"/>
    <w:family w:val="script"/>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E26D4">
    <w:pPr>
      <w:pStyle w:val="3"/>
      <w:wordWrap w:val="0"/>
      <w:jc w:val="right"/>
      <w:rPr>
        <w:rFonts w:hint="eastAsia"/>
        <w:sz w:val="28"/>
        <w:szCs w:val="28"/>
      </w:rPr>
    </w:pPr>
    <w:r>
      <w:rPr>
        <w:rFonts w:hint="eastAsia"/>
        <w:sz w:val="28"/>
        <w:szCs w:val="28"/>
      </w:rPr>
      <w:t xml:space="preserve">— </w:t>
    </w:r>
    <w:r>
      <w:rPr>
        <w:rStyle w:val="7"/>
        <w:sz w:val="28"/>
        <w:szCs w:val="28"/>
      </w:rPr>
      <w:fldChar w:fldCharType="begin"/>
    </w:r>
    <w:r>
      <w:rPr>
        <w:rStyle w:val="7"/>
        <w:sz w:val="28"/>
        <w:szCs w:val="28"/>
      </w:rPr>
      <w:instrText xml:space="preserve"> PAGE </w:instrText>
    </w:r>
    <w:r>
      <w:rPr>
        <w:rStyle w:val="7"/>
        <w:sz w:val="28"/>
        <w:szCs w:val="28"/>
      </w:rPr>
      <w:fldChar w:fldCharType="separate"/>
    </w:r>
    <w:r>
      <w:rPr>
        <w:rStyle w:val="7"/>
        <w:sz w:val="28"/>
        <w:szCs w:val="28"/>
      </w:rPr>
      <w:t>5</w:t>
    </w:r>
    <w:r>
      <w:rPr>
        <w:rStyle w:val="7"/>
        <w:sz w:val="28"/>
        <w:szCs w:val="28"/>
      </w:rPr>
      <w:fldChar w:fldCharType="end"/>
    </w:r>
    <w:r>
      <w:rPr>
        <w:rFonts w:hint="eastAsia"/>
        <w:sz w:val="28"/>
        <w:szCs w:val="28"/>
      </w:rP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55257">
    <w:pPr>
      <w:pStyle w:val="3"/>
      <w:ind w:firstLine="280" w:firstLineChars="100"/>
    </w:pPr>
    <w:r>
      <w:rPr>
        <w:rFonts w:hint="eastAsia"/>
        <w:sz w:val="28"/>
        <w:szCs w:val="28"/>
      </w:rPr>
      <w:t xml:space="preserve">— </w:t>
    </w:r>
    <w:r>
      <w:rPr>
        <w:rStyle w:val="7"/>
        <w:sz w:val="28"/>
        <w:szCs w:val="28"/>
      </w:rPr>
      <w:fldChar w:fldCharType="begin"/>
    </w:r>
    <w:r>
      <w:rPr>
        <w:rStyle w:val="7"/>
        <w:sz w:val="28"/>
        <w:szCs w:val="28"/>
      </w:rPr>
      <w:instrText xml:space="preserve"> PAGE </w:instrText>
    </w:r>
    <w:r>
      <w:rPr>
        <w:rStyle w:val="7"/>
        <w:sz w:val="28"/>
        <w:szCs w:val="28"/>
      </w:rPr>
      <w:fldChar w:fldCharType="separate"/>
    </w:r>
    <w:r>
      <w:rPr>
        <w:rStyle w:val="7"/>
        <w:sz w:val="28"/>
        <w:szCs w:val="28"/>
      </w:rPr>
      <w:t>6</w:t>
    </w:r>
    <w:r>
      <w:rPr>
        <w:rStyle w:val="7"/>
        <w:sz w:val="28"/>
        <w:szCs w:val="28"/>
      </w:rPr>
      <w:fldChar w:fldCharType="end"/>
    </w:r>
    <w:r>
      <w:rPr>
        <w:rFonts w:hint="eastAsia"/>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A9A10">
    <w:pPr>
      <w:pStyle w:val="3"/>
      <w:jc w:val="center"/>
    </w:pPr>
    <w:r>
      <w:rPr>
        <w:rFonts w:hint="eastAsia"/>
        <w:sz w:val="28"/>
        <w:szCs w:val="28"/>
      </w:rPr>
      <w:t xml:space="preserve">— </w:t>
    </w:r>
    <w:r>
      <w:rPr>
        <w:rStyle w:val="7"/>
        <w:sz w:val="28"/>
        <w:szCs w:val="28"/>
      </w:rPr>
      <w:fldChar w:fldCharType="begin"/>
    </w:r>
    <w:r>
      <w:rPr>
        <w:rStyle w:val="7"/>
        <w:sz w:val="28"/>
        <w:szCs w:val="28"/>
      </w:rPr>
      <w:instrText xml:space="preserve"> PAGE </w:instrText>
    </w:r>
    <w:r>
      <w:rPr>
        <w:rStyle w:val="7"/>
        <w:sz w:val="28"/>
        <w:szCs w:val="28"/>
      </w:rPr>
      <w:fldChar w:fldCharType="separate"/>
    </w:r>
    <w:r>
      <w:rPr>
        <w:rStyle w:val="7"/>
        <w:sz w:val="28"/>
        <w:szCs w:val="28"/>
      </w:rPr>
      <w:t>46</w:t>
    </w:r>
    <w:r>
      <w:rPr>
        <w:rStyle w:val="7"/>
        <w:sz w:val="28"/>
        <w:szCs w:val="28"/>
      </w:rPr>
      <w:fldChar w:fldCharType="end"/>
    </w:r>
    <w:r>
      <w:rPr>
        <w:rFonts w:hint="eastAsia"/>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84599">
    <w:pPr>
      <w:pStyle w:val="3"/>
      <w:wordWrap w:val="0"/>
      <w:jc w:val="right"/>
      <w:rPr>
        <w:rFonts w:hint="eastAsia"/>
        <w:sz w:val="28"/>
        <w:szCs w:val="28"/>
      </w:rPr>
    </w:pPr>
    <w:r>
      <w:rPr>
        <w:rFonts w:hint="eastAsia"/>
        <w:sz w:val="28"/>
        <w:szCs w:val="28"/>
      </w:rPr>
      <w:t xml:space="preserve">— </w:t>
    </w:r>
    <w:r>
      <w:rPr>
        <w:rStyle w:val="7"/>
        <w:sz w:val="28"/>
        <w:szCs w:val="28"/>
      </w:rPr>
      <w:fldChar w:fldCharType="begin"/>
    </w:r>
    <w:r>
      <w:rPr>
        <w:rStyle w:val="7"/>
        <w:sz w:val="28"/>
        <w:szCs w:val="28"/>
      </w:rPr>
      <w:instrText xml:space="preserve"> PAGE </w:instrText>
    </w:r>
    <w:r>
      <w:rPr>
        <w:rStyle w:val="7"/>
        <w:sz w:val="28"/>
        <w:szCs w:val="28"/>
      </w:rPr>
      <w:fldChar w:fldCharType="separate"/>
    </w:r>
    <w:r>
      <w:rPr>
        <w:rStyle w:val="7"/>
        <w:sz w:val="28"/>
        <w:szCs w:val="28"/>
      </w:rPr>
      <w:t>47</w:t>
    </w:r>
    <w:r>
      <w:rPr>
        <w:rStyle w:val="7"/>
        <w:sz w:val="28"/>
        <w:szCs w:val="28"/>
      </w:rPr>
      <w:fldChar w:fldCharType="end"/>
    </w:r>
    <w:r>
      <w:rPr>
        <w:rFonts w:hint="eastAsia"/>
        <w:sz w:val="28"/>
        <w:szCs w:val="28"/>
      </w:rPr>
      <w:t xml:space="preserve"> —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32A1C">
    <w:pPr>
      <w:pStyle w:val="3"/>
      <w:ind w:firstLine="280" w:firstLineChars="100"/>
    </w:pPr>
    <w:r>
      <w:rPr>
        <w:rFonts w:hint="eastAsia"/>
        <w:sz w:val="28"/>
        <w:szCs w:val="28"/>
      </w:rPr>
      <w:t xml:space="preserve">— </w:t>
    </w:r>
    <w:r>
      <w:rPr>
        <w:rStyle w:val="7"/>
        <w:sz w:val="28"/>
        <w:szCs w:val="28"/>
      </w:rPr>
      <w:fldChar w:fldCharType="begin"/>
    </w:r>
    <w:r>
      <w:rPr>
        <w:rStyle w:val="7"/>
        <w:sz w:val="28"/>
        <w:szCs w:val="28"/>
      </w:rPr>
      <w:instrText xml:space="preserve"> PAGE </w:instrText>
    </w:r>
    <w:r>
      <w:rPr>
        <w:rStyle w:val="7"/>
        <w:sz w:val="28"/>
        <w:szCs w:val="28"/>
      </w:rPr>
      <w:fldChar w:fldCharType="separate"/>
    </w:r>
    <w:r>
      <w:rPr>
        <w:rStyle w:val="7"/>
        <w:sz w:val="28"/>
        <w:szCs w:val="28"/>
      </w:rPr>
      <w:t>48</w:t>
    </w:r>
    <w:r>
      <w:rPr>
        <w:rStyle w:val="7"/>
        <w:sz w:val="28"/>
        <w:szCs w:val="28"/>
      </w:rPr>
      <w:fldChar w:fldCharType="end"/>
    </w:r>
    <w:r>
      <w:rPr>
        <w:rFonts w:hint="eastAsia"/>
        <w:sz w:val="28"/>
        <w:szCs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94BC6">
    <w:pPr>
      <w:pStyle w:val="3"/>
      <w:jc w:val="center"/>
      <w:rPr>
        <w:rFonts w:hint="eastAsia"/>
        <w:sz w:val="28"/>
        <w:szCs w:val="28"/>
      </w:rPr>
    </w:pPr>
    <w:r>
      <w:rPr>
        <w:rFonts w:hint="eastAsia"/>
        <w:sz w:val="28"/>
        <w:szCs w:val="28"/>
      </w:rPr>
      <w:t xml:space="preserve">— </w:t>
    </w:r>
    <w:r>
      <w:rPr>
        <w:rStyle w:val="7"/>
        <w:sz w:val="28"/>
        <w:szCs w:val="28"/>
      </w:rPr>
      <w:fldChar w:fldCharType="begin"/>
    </w:r>
    <w:r>
      <w:rPr>
        <w:rStyle w:val="7"/>
        <w:sz w:val="28"/>
        <w:szCs w:val="28"/>
      </w:rPr>
      <w:instrText xml:space="preserve"> PAGE </w:instrText>
    </w:r>
    <w:r>
      <w:rPr>
        <w:rStyle w:val="7"/>
        <w:sz w:val="28"/>
        <w:szCs w:val="28"/>
      </w:rPr>
      <w:fldChar w:fldCharType="separate"/>
    </w:r>
    <w:r>
      <w:rPr>
        <w:rStyle w:val="7"/>
        <w:sz w:val="28"/>
        <w:szCs w:val="28"/>
      </w:rPr>
      <w:t>49</w:t>
    </w:r>
    <w:r>
      <w:rPr>
        <w:rStyle w:val="7"/>
        <w:sz w:val="28"/>
        <w:szCs w:val="28"/>
      </w:rPr>
      <w:fldChar w:fldCharType="end"/>
    </w:r>
    <w:r>
      <w:rPr>
        <w:rFonts w:hint="eastAsia"/>
        <w:sz w:val="28"/>
        <w:szCs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0460C">
    <w:pPr>
      <w:pStyle w:val="3"/>
      <w:jc w:val="center"/>
    </w:pPr>
    <w:r>
      <w:rPr>
        <w:rFonts w:hint="eastAsia"/>
        <w:sz w:val="28"/>
        <w:szCs w:val="28"/>
      </w:rPr>
      <w:t xml:space="preserve">— </w:t>
    </w:r>
    <w:r>
      <w:rPr>
        <w:rStyle w:val="7"/>
        <w:sz w:val="28"/>
        <w:szCs w:val="28"/>
      </w:rPr>
      <w:fldChar w:fldCharType="begin"/>
    </w:r>
    <w:r>
      <w:rPr>
        <w:rStyle w:val="7"/>
        <w:sz w:val="28"/>
        <w:szCs w:val="28"/>
      </w:rPr>
      <w:instrText xml:space="preserve"> PAGE </w:instrText>
    </w:r>
    <w:r>
      <w:rPr>
        <w:rStyle w:val="7"/>
        <w:sz w:val="28"/>
        <w:szCs w:val="28"/>
      </w:rPr>
      <w:fldChar w:fldCharType="separate"/>
    </w:r>
    <w:r>
      <w:rPr>
        <w:rStyle w:val="7"/>
        <w:sz w:val="28"/>
        <w:szCs w:val="28"/>
      </w:rPr>
      <w:t>50</w:t>
    </w:r>
    <w:r>
      <w:rPr>
        <w:rStyle w:val="7"/>
        <w:sz w:val="28"/>
        <w:szCs w:val="28"/>
      </w:rPr>
      <w:fldChar w:fldCharType="end"/>
    </w:r>
    <w:r>
      <w:rPr>
        <w:rFonts w:hint="eastAsia"/>
        <w:sz w:val="28"/>
        <w:szCs w:val="2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49BFB">
    <w:pPr>
      <w:pStyle w:val="3"/>
      <w:jc w:val="center"/>
      <w:rPr>
        <w:rFonts w:hint="eastAsia"/>
        <w:sz w:val="28"/>
        <w:szCs w:val="28"/>
      </w:rPr>
    </w:pPr>
    <w:r>
      <w:rPr>
        <w:rFonts w:hint="eastAsia"/>
        <w:sz w:val="28"/>
        <w:szCs w:val="28"/>
      </w:rPr>
      <w:t xml:space="preserve">— </w:t>
    </w:r>
    <w:r>
      <w:rPr>
        <w:rStyle w:val="7"/>
        <w:sz w:val="28"/>
        <w:szCs w:val="28"/>
      </w:rPr>
      <w:fldChar w:fldCharType="begin"/>
    </w:r>
    <w:r>
      <w:rPr>
        <w:rStyle w:val="7"/>
        <w:sz w:val="28"/>
        <w:szCs w:val="28"/>
      </w:rPr>
      <w:instrText xml:space="preserve"> PAGE </w:instrText>
    </w:r>
    <w:r>
      <w:rPr>
        <w:rStyle w:val="7"/>
        <w:sz w:val="28"/>
        <w:szCs w:val="28"/>
      </w:rPr>
      <w:fldChar w:fldCharType="separate"/>
    </w:r>
    <w:r>
      <w:rPr>
        <w:rStyle w:val="7"/>
        <w:sz w:val="28"/>
        <w:szCs w:val="28"/>
      </w:rPr>
      <w:t>49</w:t>
    </w:r>
    <w:r>
      <w:rPr>
        <w:rStyle w:val="7"/>
        <w:sz w:val="28"/>
        <w:szCs w:val="28"/>
      </w:rPr>
      <w:fldChar w:fldCharType="end"/>
    </w:r>
    <w:r>
      <w:rPr>
        <w:rFonts w:hint="eastAsia"/>
        <w:sz w:val="28"/>
        <w:szCs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481A7B"/>
    <w:rsid w:val="28481A7B"/>
    <w:rsid w:val="373A4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footer"/>
    <w:basedOn w:val="1"/>
    <w:qFormat/>
    <w:uiPriority w:val="99"/>
    <w:pPr>
      <w:tabs>
        <w:tab w:val="center" w:pos="4153"/>
        <w:tab w:val="right" w:pos="8306"/>
      </w:tabs>
      <w:snapToGrid w:val="0"/>
      <w:jc w:val="left"/>
    </w:pPr>
    <w:rPr>
      <w:rFonts w:eastAsia="方正仿宋简体"/>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page number"/>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26.jpeg"/><Relationship Id="rId4" Type="http://schemas.openxmlformats.org/officeDocument/2006/relationships/footer" Target="foot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8631</Words>
  <Characters>8761</Characters>
  <Lines>0</Lines>
  <Paragraphs>0</Paragraphs>
  <TotalTime>0</TotalTime>
  <ScaleCrop>false</ScaleCrop>
  <LinksUpToDate>false</LinksUpToDate>
  <CharactersWithSpaces>8803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2026-01-30T08:49:00Z</dcterms:created>
  <dc:creator>XT</dc:creator>
  <cp:lastModifiedBy>XT</cp:lastModifiedBy>
  <dcterms:modified xsi:type="dcterms:W3CDTF">2026-01-30T09:01:50Z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9496F47C6ACD4B25AAF14C414472AC1A_11</vt:lpwstr>
  </property>
  <property fmtid="{D5CDD505-2E9C-101B-9397-08002B2CF9AE}" pid="4" name="KSOTemplateDocerSaveRecord">
    <vt:lpwstr>eyJoZGlkIjoiOGVhNWZiNWZmYTBkNjNmNjcxNGM0Yjc1ZGNiNjhmOWUiLCJ1c2VySWQiOiI1ODc0MzI4ODgifQ==</vt:lpwstr>
  </property>
</Properties>
</file>