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521"/>
        <w:tblOverlap w:val="never"/>
        <w:tblW w:w="15380" w:type="dxa"/>
        <w:jc w:val="center"/>
        <w:tblLayout w:type="autofit"/>
        <w:tblCellMar>
          <w:top w:w="0" w:type="dxa"/>
          <w:left w:w="108" w:type="dxa"/>
          <w:bottom w:w="0" w:type="dxa"/>
          <w:right w:w="108" w:type="dxa"/>
        </w:tblCellMar>
      </w:tblPr>
      <w:tblGrid>
        <w:gridCol w:w="1163"/>
        <w:gridCol w:w="986"/>
        <w:gridCol w:w="890"/>
        <w:gridCol w:w="5382"/>
        <w:gridCol w:w="5969"/>
        <w:gridCol w:w="990"/>
      </w:tblGrid>
      <w:tr>
        <w:tblPrEx>
          <w:tblCellMar>
            <w:top w:w="0" w:type="dxa"/>
            <w:left w:w="108" w:type="dxa"/>
            <w:bottom w:w="0" w:type="dxa"/>
            <w:right w:w="108" w:type="dxa"/>
          </w:tblCellMar>
        </w:tblPrEx>
        <w:trPr>
          <w:trHeight w:val="292" w:hRule="atLeast"/>
          <w:jc w:val="center"/>
        </w:trPr>
        <w:tc>
          <w:tcPr>
            <w:tcW w:w="1163" w:type="dxa"/>
            <w:tcBorders>
              <w:top w:val="nil"/>
              <w:left w:val="nil"/>
              <w:bottom w:val="nil"/>
              <w:right w:val="nil"/>
            </w:tcBorders>
            <w:shd w:val="clear" w:color="auto" w:fill="auto"/>
            <w:noWrap w:val="0"/>
            <w:vAlign w:val="center"/>
          </w:tcPr>
          <w:p>
            <w:pPr>
              <w:widowControl/>
              <w:spacing w:line="360" w:lineRule="exact"/>
              <w:jc w:val="center"/>
              <w:textAlignment w:val="center"/>
              <w:rPr>
                <w:rFonts w:ascii="宋体" w:hAnsi="宋体" w:cs="宋体"/>
                <w:color w:val="000000"/>
                <w:sz w:val="20"/>
                <w:szCs w:val="20"/>
              </w:rPr>
            </w:pPr>
            <w:r>
              <w:rPr>
                <w:rFonts w:hint="eastAsia" w:ascii="黑体" w:hAnsi="黑体" w:eastAsia="黑体" w:cs="黑体"/>
                <w:color w:val="000000"/>
                <w:kern w:val="0"/>
                <w:sz w:val="20"/>
                <w:szCs w:val="20"/>
              </w:rPr>
              <w:t>附件</w:t>
            </w:r>
          </w:p>
        </w:tc>
        <w:tc>
          <w:tcPr>
            <w:tcW w:w="986" w:type="dxa"/>
            <w:tcBorders>
              <w:top w:val="nil"/>
              <w:left w:val="nil"/>
              <w:bottom w:val="nil"/>
              <w:right w:val="nil"/>
            </w:tcBorders>
            <w:shd w:val="clear" w:color="auto" w:fill="auto"/>
            <w:noWrap w:val="0"/>
            <w:vAlign w:val="center"/>
          </w:tcPr>
          <w:p>
            <w:pPr>
              <w:spacing w:line="360" w:lineRule="exact"/>
              <w:jc w:val="center"/>
              <w:rPr>
                <w:rFonts w:ascii="宋体" w:hAnsi="宋体" w:cs="宋体"/>
                <w:color w:val="000000"/>
                <w:sz w:val="16"/>
                <w:szCs w:val="16"/>
              </w:rPr>
            </w:pPr>
          </w:p>
        </w:tc>
        <w:tc>
          <w:tcPr>
            <w:tcW w:w="890" w:type="dxa"/>
            <w:tcBorders>
              <w:top w:val="nil"/>
              <w:left w:val="nil"/>
              <w:bottom w:val="nil"/>
              <w:right w:val="nil"/>
            </w:tcBorders>
            <w:shd w:val="clear" w:color="auto" w:fill="auto"/>
            <w:noWrap/>
            <w:vAlign w:val="center"/>
          </w:tcPr>
          <w:p>
            <w:pPr>
              <w:spacing w:line="360" w:lineRule="exact"/>
              <w:jc w:val="center"/>
              <w:rPr>
                <w:rFonts w:ascii="宋体" w:hAnsi="宋体" w:cs="宋体"/>
                <w:color w:val="000000"/>
                <w:sz w:val="16"/>
                <w:szCs w:val="16"/>
              </w:rPr>
            </w:pPr>
          </w:p>
        </w:tc>
        <w:tc>
          <w:tcPr>
            <w:tcW w:w="5382" w:type="dxa"/>
            <w:tcBorders>
              <w:top w:val="nil"/>
              <w:left w:val="nil"/>
              <w:bottom w:val="nil"/>
              <w:right w:val="nil"/>
            </w:tcBorders>
            <w:shd w:val="clear" w:color="auto" w:fill="auto"/>
            <w:noWrap w:val="0"/>
            <w:vAlign w:val="center"/>
          </w:tcPr>
          <w:p>
            <w:pPr>
              <w:spacing w:line="360" w:lineRule="exact"/>
              <w:rPr>
                <w:rFonts w:ascii="宋体" w:hAnsi="宋体" w:cs="宋体"/>
                <w:color w:val="000000"/>
                <w:sz w:val="16"/>
                <w:szCs w:val="16"/>
              </w:rPr>
            </w:pPr>
          </w:p>
        </w:tc>
        <w:tc>
          <w:tcPr>
            <w:tcW w:w="5969" w:type="dxa"/>
            <w:tcBorders>
              <w:top w:val="nil"/>
              <w:left w:val="nil"/>
              <w:bottom w:val="nil"/>
              <w:right w:val="nil"/>
            </w:tcBorders>
            <w:shd w:val="clear" w:color="auto" w:fill="auto"/>
            <w:noWrap w:val="0"/>
            <w:vAlign w:val="center"/>
          </w:tcPr>
          <w:p>
            <w:pPr>
              <w:spacing w:line="360" w:lineRule="exact"/>
              <w:jc w:val="left"/>
              <w:rPr>
                <w:rFonts w:ascii="宋体" w:hAnsi="宋体" w:cs="宋体"/>
                <w:color w:val="000000"/>
                <w:sz w:val="16"/>
                <w:szCs w:val="16"/>
              </w:rPr>
            </w:pPr>
          </w:p>
        </w:tc>
        <w:tc>
          <w:tcPr>
            <w:tcW w:w="990" w:type="dxa"/>
            <w:tcBorders>
              <w:top w:val="nil"/>
              <w:left w:val="nil"/>
              <w:bottom w:val="nil"/>
              <w:right w:val="nil"/>
            </w:tcBorders>
            <w:shd w:val="clear" w:color="auto" w:fill="auto"/>
            <w:noWrap/>
            <w:vAlign w:val="center"/>
          </w:tcPr>
          <w:p>
            <w:pPr>
              <w:spacing w:line="360" w:lineRule="exact"/>
              <w:rPr>
                <w:rFonts w:ascii="宋体" w:hAnsi="宋体" w:cs="宋体"/>
                <w:color w:val="000000"/>
                <w:sz w:val="16"/>
                <w:szCs w:val="16"/>
              </w:rPr>
            </w:pPr>
          </w:p>
        </w:tc>
      </w:tr>
      <w:tr>
        <w:tblPrEx>
          <w:tblCellMar>
            <w:top w:w="0" w:type="dxa"/>
            <w:left w:w="108" w:type="dxa"/>
            <w:bottom w:w="0" w:type="dxa"/>
            <w:right w:w="108" w:type="dxa"/>
          </w:tblCellMar>
        </w:tblPrEx>
        <w:trPr>
          <w:trHeight w:val="799" w:hRule="atLeast"/>
          <w:jc w:val="center"/>
        </w:trPr>
        <w:tc>
          <w:tcPr>
            <w:tcW w:w="14390" w:type="dxa"/>
            <w:gridSpan w:val="5"/>
            <w:tcBorders>
              <w:top w:val="nil"/>
              <w:left w:val="nil"/>
              <w:bottom w:val="nil"/>
              <w:right w:val="nil"/>
            </w:tcBorders>
            <w:shd w:val="clear" w:color="auto" w:fill="auto"/>
            <w:noWrap w:val="0"/>
            <w:vAlign w:val="center"/>
          </w:tcPr>
          <w:p>
            <w:pPr>
              <w:widowControl/>
              <w:spacing w:line="600" w:lineRule="exact"/>
              <w:jc w:val="center"/>
              <w:textAlignment w:val="center"/>
              <w:rPr>
                <w:rFonts w:hint="eastAsia" w:ascii="方正小标宋_GBK" w:hAnsi="方正小标宋简体" w:eastAsia="方正小标宋_GBK" w:cs="方正小标宋简体"/>
                <w:color w:val="000000"/>
                <w:sz w:val="24"/>
                <w:szCs w:val="24"/>
              </w:rPr>
            </w:pPr>
            <w:bookmarkStart w:id="0" w:name="_GoBack"/>
            <w:r>
              <w:rPr>
                <w:rFonts w:hint="eastAsia" w:ascii="方正小标宋_GBK" w:hAnsi="方正小标宋简体" w:eastAsia="方正小标宋_GBK" w:cs="方正小标宋简体"/>
                <w:color w:val="000000"/>
                <w:kern w:val="0"/>
                <w:sz w:val="24"/>
                <w:szCs w:val="24"/>
              </w:rPr>
              <w:t>体育赛事活动安全监管事项清单</w:t>
            </w:r>
            <w:bookmarkEnd w:id="0"/>
          </w:p>
        </w:tc>
        <w:tc>
          <w:tcPr>
            <w:tcW w:w="990" w:type="dxa"/>
            <w:tcBorders>
              <w:top w:val="nil"/>
              <w:left w:val="nil"/>
              <w:bottom w:val="nil"/>
              <w:right w:val="nil"/>
            </w:tcBorders>
            <w:shd w:val="clear" w:color="auto" w:fill="auto"/>
            <w:noWrap/>
            <w:vAlign w:val="center"/>
          </w:tcPr>
          <w:p>
            <w:pPr>
              <w:spacing w:line="360" w:lineRule="exact"/>
              <w:rPr>
                <w:rFonts w:ascii="宋体" w:hAnsi="宋体" w:cs="宋体"/>
                <w:color w:val="000000"/>
                <w:sz w:val="16"/>
                <w:szCs w:val="16"/>
              </w:rPr>
            </w:pPr>
          </w:p>
        </w:tc>
      </w:tr>
      <w:tr>
        <w:tblPrEx>
          <w:tblCellMar>
            <w:top w:w="0" w:type="dxa"/>
            <w:left w:w="108" w:type="dxa"/>
            <w:bottom w:w="0" w:type="dxa"/>
            <w:right w:w="108" w:type="dxa"/>
          </w:tblCellMar>
        </w:tblPrEx>
        <w:trPr>
          <w:trHeight w:val="480" w:hRule="atLeast"/>
          <w:jc w:val="center"/>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类别</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序号</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监管事项</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监管措施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宋体" w:hAnsi="宋体" w:cs="宋体"/>
                <w:color w:val="000000"/>
                <w:sz w:val="16"/>
                <w:szCs w:val="16"/>
              </w:rPr>
            </w:pPr>
            <w:r>
              <w:rPr>
                <w:rFonts w:hint="eastAsia" w:ascii="黑体" w:hAnsi="宋体" w:eastAsia="黑体" w:cs="黑体"/>
                <w:color w:val="000000"/>
                <w:kern w:val="0"/>
                <w:sz w:val="16"/>
                <w:szCs w:val="16"/>
              </w:rPr>
              <w:t>备注</w:t>
            </w:r>
          </w:p>
        </w:tc>
      </w:tr>
      <w:tr>
        <w:tblPrEx>
          <w:tblCellMar>
            <w:top w:w="0" w:type="dxa"/>
            <w:left w:w="108" w:type="dxa"/>
            <w:bottom w:w="0" w:type="dxa"/>
            <w:right w:w="108" w:type="dxa"/>
          </w:tblCellMar>
        </w:tblPrEx>
        <w:trPr>
          <w:trHeight w:val="1380" w:hRule="atLeast"/>
          <w:jc w:val="center"/>
        </w:trPr>
        <w:tc>
          <w:tcPr>
            <w:tcW w:w="21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一、体育赛事活动安全责任制</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体育赛事活动安全责任制落实不够，体育赛事活动组委会未建立体育赛事活动安全工作机构，未明确场地安全、项目安全和其他各类保障安全的责任人</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体育赛事活动组委会中设立体育赛事活动安全工作机构，并明确场地安全、项目安全和其他各类保障安全等相关内容的责任人，并明确其职责和联系方式，确保各类安全问题责任清晰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19"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体育赛事活动组委会未与各安全责任人签订赛事安全责任书</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体育赛事活动组委会应与各安全责任人签订体育赛事活动安全责任书</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039"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体育赛事活动参与各方未签订协议，或未在协议中明确各方安全生产责任</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压实各方安全责任，参与体育赛事活动的主办、承办和协办单位要在签订书面协议时进一步明确赛事参与各单位的安全工作职责</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02" w:hRule="atLeast"/>
          <w:jc w:val="center"/>
        </w:trPr>
        <w:tc>
          <w:tcPr>
            <w:tcW w:w="21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二、体育赛事活动安全规章制度（“四个方案，一个机制”）</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未制定风险评估报告（高危险性体育赛事活动）</w:t>
            </w:r>
          </w:p>
        </w:tc>
        <w:tc>
          <w:tcPr>
            <w:tcW w:w="596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加强体育赛事活动风险研判。结合办赛地点实际情况，从体育赛事活动的场地、气象条件、竞技难度、项目设置、赛事组织安全隐患等多方面进行安全风险评估。科学制定赛事组织方案、安全工作方案、风险防范及应急处置预案、医疗救护及救援方案，尤其是制定包括“熔断”机制在内的风险防范及应急处置预案，确保体育赛事活动安全有序进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820"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5</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未制定体育赛事活动风险防范及应急处置预案方案不完善，导致突发事件发生后出现管理混乱，影响处置效率</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980"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6</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未制定体育赛事活动安全工作方案或方案不完善，导致出现体育赛事活动安保问题</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80"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7</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未制定体育赛事活动组织方案或方案不完善，导致体育赛事活动组织混乱无序</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820"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8</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未制定体育赛事活动医疗保障及救援方案，导致现场救援工作混乱无序，延误救治时间</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02"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9</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未制定体育赛事活动“熔断”机制或应急处置预案中未包含“熔断”机制相关内容</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02" w:hRule="atLeast"/>
          <w:jc w:val="center"/>
        </w:trPr>
        <w:tc>
          <w:tcPr>
            <w:tcW w:w="21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三、体育赛事活动安全教育培训</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10</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赛前未对全体参赛人员开展安全教育或安全教育流于形式</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体育赛事活动组委会应在赛前组织全体人员开展安全教育，增强安全意识，克服松懈麻痹思想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900"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11</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未针对工作人员、志愿者开展专业培训，导致其因不了解该运动风险引发安全事故</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在赛前开展针对工作人员、志愿者的专业培训，使其了解工作职责、业务流程、安全要领等相关内容，进一步提高专业水平，避免安全事件发生</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559"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12</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赛前未对参赛者进行风险告知和安全提示</w:t>
            </w:r>
          </w:p>
        </w:tc>
        <w:tc>
          <w:tcPr>
            <w:tcW w:w="596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体育赛事活动主办方、承办方、协办方等组织者，应当根据体育赛事活动类型特点，充分履行对参赛者的风险告知和安全提示义务，并要求参赛者签署并遵守安全管理规定承诺书</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20"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13</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未要求参赛者签署遵守安全管理规定承诺书</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00"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四、体育赛事活动安全要求</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参赛人员</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14</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参赛人员不具备相应资质导致发生安全事故（需要资质的运动项目）</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赛前组委会严格审查参赛人员证照，资质不符合赛事要求禁止参赛</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15</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因身体健康问题导致赛事突发疾病造成伤亡事故</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要求所有运动员在报到时提供参与项目要求相应的健康证明，若无证明则不允许参赛</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16</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未购买足额人身意外伤害险导致受伤运动员无法及时得到救治</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报到时检查保险购买情况，若无保险则不允许参赛</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09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17</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安全意识薄弱，缺乏自我保护意识，导致赛时忽视突发风险强行参赛造成个人人身伤害</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赛前加强安全教育，增强参赛人员安全意识，遇到突发事件及时停赛，对受伤或明显状态异常但仍坚持比赛的运动员要及时劝停</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0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18</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误服兴奋剂，对自身健康造成危害、影响赛事公平性</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加强反兴奋剂宣传教育，有条件情况下增设兴奋剂抽查环节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7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器材</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19</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器材所持证照不全</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赛前检查器材所持有的证照、保险，确保证照齐全</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6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20</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器材存在故障，无法确保赛事正常进行</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赛前开展器材检查，排查器材安全故障，确保器材处于安全状态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1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21</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未配备相应器材维修人员，器材出现故障后无法及时得到维修</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按照赛事器材种类和数量配备足量、具备相应资质的维修人员</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00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场地</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22</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不满足相应项目赛事开展要求</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需符合所开展项目赛事活动的具体要求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23</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场地未划分功能区，未实行区域证件管理，竞赛区域未实施安保，有无关人员出入</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场地划分功能区，严格执行区域证件管理，竞赛区应严格实施安保，无关人员禁止出入</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182"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气象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24</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超标准天气组织赛事活动</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要根据各类赛事要求严格掌握气象标准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0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25</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无极端天气应急预案</w:t>
            </w:r>
          </w:p>
        </w:tc>
        <w:tc>
          <w:tcPr>
            <w:tcW w:w="596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赛事筹备阶段应制定极端天气应急预案，确保出现极端天气时能够及时停赛，确保参赛人员人身安全和赛事有序运行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84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26</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出现高温、暴雨、雷电、沙尘暴等异常天气未及时采取措施</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242" w:hRule="atLeast"/>
          <w:jc w:val="center"/>
        </w:trPr>
        <w:tc>
          <w:tcPr>
            <w:tcW w:w="1163"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五、体育赛事活动组织要求</w:t>
            </w:r>
          </w:p>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承办单位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27</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无办赛资质，影响赛事整体运行</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体育赛事活动立项阶段全面审查申办材料，实地了解承办单位情况，包括主要业务、办赛经验、专业人员数量、人力保障、信用状况、与当地政府部门关系等，设置赛事监督制度</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242"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28</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无办赛经验，影响赛事整体运行</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各运动协会可推荐专业赛事执行团队或专业赛事组织人员负责赛事组织，赛事活动裁判、赛事安全要需由经验丰富的人员负责</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02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29</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协调能力差，发生突发事件时无法及时调动所需资源，影响善后处理工作</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体育赛事活动立项阶段应评估承办单位协调市场、交通、医疗、气象、通信、公安、救援等方面的能力</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02"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体育赛事活动组织实施</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30</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不具备相应赛事竞赛规程、竞赛规则</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体育赛事活动组委会应按照相应项目竞赛规程、竞赛规则组织实施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2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31</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未制定竞赛纪律并组织实施</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针对体育赛事活动涉及项目，并结合实际情况制定赛事纪律并由组委会组织实施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242"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32</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竞赛科目设计不合理，导致运动员体力透支</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充分考虑天气、地形、安全等各种因素，赛前由体育赛事活动总裁判长综合评估后确定当日比赛科目，确保比赛科目设计合理、安全</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48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工作人员、志愿者</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33</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缺乏突发事件处置经验，造成事态扩大</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赛前统一进行突发事件应急处置方法培训</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08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34</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不遵守比赛纪律，影响赛事整体运行</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加强人员管理，凡出现迟到早退情况即通报本人所在单位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90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赛风赛纪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35</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比赛科目设置重复、混乱，规则描述不清或有明显漏洞，从而影响竞赛的公平公正进行，造成争议事件发生</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比赛科目设置上按照单项协会的官方竞赛项目合理设置项目，避免项目冲突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0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36</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裁判员泄露比赛信息，出现漏判、误判、错判，影响赛事公平</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加强对赛事裁判员管理和教育和监督，确保裁判制裁公平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80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37</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参赛人员扰乱赛场秩序</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对参赛单位和个人开展思想教育和赛风赛纪教育，引导树立正确的参赛观和胜负观，尤其是参赛运动员要严格遵守赛风赛纪，尊重对手、尊重裁判、尊重观众、尊重自己，赛出良好的精神风貌，展现专业运动员的素养和风范，更好地维护干净、和谐、健康、向上的竞赛环境，弘扬正能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00" w:hRule="atLeast"/>
          <w:jc w:val="center"/>
        </w:trPr>
        <w:tc>
          <w:tcPr>
            <w:tcW w:w="116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38</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误服兴奋剂，对自身健康造成危害、影响赛事公平性</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加强反兴奋剂宣传教育，有条件情况下增设兴奋剂抽查环节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500" w:hRule="atLeast"/>
          <w:jc w:val="center"/>
        </w:trPr>
        <w:tc>
          <w:tcPr>
            <w:tcW w:w="1163"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p>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六、体育赛事活动安全保障要求</w:t>
            </w:r>
          </w:p>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安保</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39</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赛场大规模人员聚集，发生现场混乱、踩踏事件</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制定安保方案，配备与赛事规模相符的安保力量。活动区域划分合理，有专人负责活动安保工作的组织领导、现场调度以及协助有关部门对事件的处理。合理设置各类人员流线，对现场观众进行积极引导与有效管理，避免踩踏事故的发生</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42"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40</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无关车辆、人员在场地内穿行、逗留，发生车辆、人员冲撞事故</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在赛场内管制、限流或由专人负责引导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02"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医疗</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41</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无医疗保障预案，发生紧急医疗事故易出现混乱，影响救治</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赛事筹备阶段结合赛事特点制定医疗保障预案</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08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42</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缺乏专业医护人员、医疗物资、救护车辆，受伤人员无法得到及时救治，造成人员伤亡事故</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赛场应设置医疗中心，配备医疗救护人员、设备、药品、救护车等；规划好急救转运路线与通道，准备好后备医院；确保通信联络畅通和资源调度迅速高效。</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54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交通</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43</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无交通保障预案</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赛事筹备阶段制定交通保障预案</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84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44</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运动队前往赛场时因路况或交通情况复杂可能发生交通意外事故</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若赛场距离市区较远，则组委会统一安排车辆前往，并组织交警协助带领车队</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99"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45</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赛事相关区域封路、交通管制未提前告知当地居民，引起人员冲突</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通过电视、广播、现场指示牌等多种方式提前告知封路、交通管制情况</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2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食品</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46</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食品卫生问题，运动员、教练员、裁判员等赛事有关人员引起食物中毒等症状</w:t>
            </w:r>
          </w:p>
        </w:tc>
        <w:tc>
          <w:tcPr>
            <w:tcW w:w="596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市市场监管部门提前检查餐厅、食堂，掌握住宿信息，提前与酒店沟通，重点保障参赛人员</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36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47</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食品安全问题，运动员兴奋剂误服</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78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消防</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48</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赛场内缺乏相应消防设施</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应在赛场配备消防车辆和应急设施，赛前对赛场进行消防检查，排除安全隐患</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30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舆情</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49</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污蔑、诋毁赛事的言论，对赛事声誉造成不良影响</w:t>
            </w:r>
          </w:p>
        </w:tc>
        <w:tc>
          <w:tcPr>
            <w:tcW w:w="596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主办单位、承办地政府共同做好舆情监测工作，发现问题，相互通报，及时处理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680" w:hRule="atLeast"/>
          <w:jc w:val="center"/>
        </w:trPr>
        <w:tc>
          <w:tcPr>
            <w:tcW w:w="1163" w:type="dxa"/>
            <w:vMerge w:val="continue"/>
            <w:tcBorders>
              <w:left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50</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突发事件发生后网上不实言论，不利于善后处理工作进行</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320" w:hRule="atLeast"/>
          <w:jc w:val="center"/>
        </w:trPr>
        <w:tc>
          <w:tcPr>
            <w:tcW w:w="116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51</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赛前泄露比赛信息，影响赛事公平性</w:t>
            </w:r>
          </w:p>
        </w:tc>
        <w:tc>
          <w:tcPr>
            <w:tcW w:w="596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542" w:hRule="atLeast"/>
          <w:jc w:val="center"/>
        </w:trPr>
        <w:tc>
          <w:tcPr>
            <w:tcW w:w="21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七、体育赛事活动安全事故处置</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52</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应急处置预案针对性不强，未区分安全事故和其他一般安全事故的不同处置程序</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在制定应急处置预案时，针对赛事活动中可能出现的各类安全事故和其他火灾、人员拥挤、扰乱社会治安等一般安全事故，明确发生各类事故的具体处置程序和人员，确保发生突发事件时能够有效应对和处理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r>
        <w:tblPrEx>
          <w:tblCellMar>
            <w:top w:w="0" w:type="dxa"/>
            <w:left w:w="108" w:type="dxa"/>
            <w:bottom w:w="0" w:type="dxa"/>
            <w:right w:w="108" w:type="dxa"/>
          </w:tblCellMar>
        </w:tblPrEx>
        <w:trPr>
          <w:trHeight w:val="1560" w:hRule="atLeast"/>
          <w:jc w:val="center"/>
        </w:trPr>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 w:hAnsi="仿宋" w:eastAsia="仿宋" w:cs="仿宋"/>
                <w:sz w:val="16"/>
                <w:szCs w:val="16"/>
              </w:rPr>
            </w:pPr>
            <w:r>
              <w:rPr>
                <w:rFonts w:hint="eastAsia" w:ascii="仿宋" w:hAnsi="仿宋" w:eastAsia="仿宋" w:cs="仿宋"/>
                <w:sz w:val="16"/>
                <w:szCs w:val="16"/>
              </w:rPr>
              <w:t>53</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未建立应急情况处置工作机制，导致发生安全事故后处置程序不清、责任不清</w:t>
            </w:r>
          </w:p>
        </w:tc>
        <w:tc>
          <w:tcPr>
            <w:tcW w:w="5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textAlignment w:val="center"/>
              <w:rPr>
                <w:rFonts w:ascii="仿宋" w:hAnsi="仿宋" w:eastAsia="仿宋" w:cs="仿宋"/>
                <w:sz w:val="16"/>
                <w:szCs w:val="16"/>
              </w:rPr>
            </w:pPr>
            <w:r>
              <w:rPr>
                <w:rFonts w:hint="eastAsia" w:ascii="仿宋" w:hAnsi="仿宋" w:eastAsia="仿宋" w:cs="仿宋"/>
                <w:sz w:val="16"/>
                <w:szCs w:val="16"/>
              </w:rPr>
              <w:t>制定应急处置预案时，明确应急处置的指挥机构、责任分工、处置程序、响应机制等，并针对可能出现的各类安全事故开展各类应急处置演练，确保发生安全事故后能够及时、有效处置</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ascii="仿宋" w:hAnsi="仿宋" w:eastAsia="仿宋" w:cs="仿宋"/>
                <w:sz w:val="16"/>
                <w:szCs w:val="16"/>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WZiNWZmYTBkNjNmNjcxNGM0Yjc1ZGNiNjhmOWUifQ=="/>
  </w:docVars>
  <w:rsids>
    <w:rsidRoot w:val="586B1EBF"/>
    <w:rsid w:val="586B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2023-10-27T06:52:00Z</dcterms:created>
  <dc:creator>Back to Tomorrow</dc:creator>
  <cp:lastModifiedBy>Back to Tomorrow</cp:lastModifiedBy>
  <dcterms:modified xsi:type="dcterms:W3CDTF">2023-10-27T06:53:45Z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0463295256474FA7BBE0FD7821CEEE19_11</vt:lpwstr>
  </property>
</Properties>
</file>