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F2" w:rsidRPr="00FA6FAE" w:rsidRDefault="00C572F2" w:rsidP="00C572F2">
      <w:pPr>
        <w:jc w:val="center"/>
        <w:rPr>
          <w:rFonts w:ascii="方正小标宋_GBK" w:eastAsia="方正小标宋_GBK" w:hint="eastAsia"/>
          <w:sz w:val="32"/>
          <w:szCs w:val="44"/>
        </w:rPr>
      </w:pPr>
      <w:bookmarkStart w:id="0" w:name="_GoBack"/>
      <w:r w:rsidRPr="00FA6FAE">
        <w:rPr>
          <w:rFonts w:ascii="方正小标宋_GBK" w:eastAsia="方正小标宋_GBK" w:hint="eastAsia"/>
          <w:sz w:val="32"/>
          <w:szCs w:val="44"/>
        </w:rPr>
        <w:t>表</w:t>
      </w:r>
      <w:r w:rsidRPr="00FA6FAE">
        <w:rPr>
          <w:rFonts w:ascii="方正小标宋_GBK" w:eastAsia="方正小标宋_GBK"/>
          <w:sz w:val="32"/>
          <w:szCs w:val="44"/>
        </w:rPr>
        <w:t xml:space="preserve">6.1 </w:t>
      </w:r>
      <w:r w:rsidRPr="00FA6FAE">
        <w:rPr>
          <w:rFonts w:ascii="方正小标宋_GBK" w:eastAsia="方正小标宋_GBK" w:hint="eastAsia"/>
          <w:sz w:val="32"/>
          <w:szCs w:val="44"/>
        </w:rPr>
        <w:t xml:space="preserve"> 居住</w:t>
      </w:r>
      <w:proofErr w:type="gramStart"/>
      <w:r w:rsidRPr="00FA6FAE">
        <w:rPr>
          <w:rFonts w:ascii="方正小标宋_GBK" w:eastAsia="方正小标宋_GBK" w:hint="eastAsia"/>
          <w:sz w:val="32"/>
          <w:szCs w:val="44"/>
        </w:rPr>
        <w:t>街坊级</w:t>
      </w:r>
      <w:proofErr w:type="gramEnd"/>
      <w:r w:rsidRPr="00FA6FAE">
        <w:rPr>
          <w:rFonts w:ascii="方正小标宋_GBK" w:eastAsia="方正小标宋_GBK" w:hint="eastAsia"/>
          <w:sz w:val="32"/>
          <w:szCs w:val="44"/>
        </w:rPr>
        <w:t>公共设施配置标准</w:t>
      </w:r>
      <w:r w:rsidRPr="00FA6FAE">
        <w:rPr>
          <w:rFonts w:ascii="方正小标宋_GBK" w:eastAsia="方正小标宋_GBK"/>
          <w:sz w:val="32"/>
          <w:szCs w:val="44"/>
        </w:rPr>
        <w:t xml:space="preserve">  1000</w:t>
      </w:r>
      <w:r w:rsidRPr="00FA6FAE">
        <w:rPr>
          <w:rFonts w:ascii="方正小标宋_GBK" w:eastAsia="方正小标宋_GBK" w:hint="eastAsia"/>
          <w:sz w:val="32"/>
          <w:szCs w:val="44"/>
        </w:rPr>
        <w:t>—</w:t>
      </w:r>
      <w:r w:rsidRPr="00FA6FAE">
        <w:rPr>
          <w:rFonts w:ascii="方正小标宋_GBK" w:eastAsia="方正小标宋_GBK"/>
          <w:sz w:val="32"/>
          <w:szCs w:val="44"/>
        </w:rPr>
        <w:t>3000</w:t>
      </w:r>
      <w:r w:rsidRPr="00FA6FAE">
        <w:rPr>
          <w:rFonts w:ascii="方正小标宋_GBK" w:eastAsia="方正小标宋_GBK" w:hint="eastAsia"/>
          <w:sz w:val="32"/>
          <w:szCs w:val="44"/>
        </w:rPr>
        <w:t>人</w:t>
      </w:r>
    </w:p>
    <w:tbl>
      <w:tblPr>
        <w:tblW w:w="148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4549"/>
        <w:gridCol w:w="1127"/>
        <w:gridCol w:w="7"/>
        <w:gridCol w:w="1120"/>
        <w:gridCol w:w="6509"/>
      </w:tblGrid>
      <w:tr w:rsidR="00C572F2" w:rsidRPr="00FA6FAE" w:rsidTr="00B0479E">
        <w:trPr>
          <w:cantSplit/>
          <w:tblHeader/>
        </w:trPr>
        <w:tc>
          <w:tcPr>
            <w:tcW w:w="1508" w:type="dxa"/>
            <w:vMerge w:val="restart"/>
            <w:vAlign w:val="center"/>
          </w:tcPr>
          <w:bookmarkEnd w:id="0"/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设置项目</w:t>
            </w:r>
          </w:p>
        </w:tc>
        <w:tc>
          <w:tcPr>
            <w:tcW w:w="4549" w:type="dxa"/>
            <w:vMerge w:val="restart"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内容</w:t>
            </w:r>
          </w:p>
        </w:tc>
        <w:tc>
          <w:tcPr>
            <w:tcW w:w="2254" w:type="dxa"/>
            <w:gridSpan w:val="3"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每处一般规模</w:t>
            </w:r>
          </w:p>
        </w:tc>
        <w:tc>
          <w:tcPr>
            <w:tcW w:w="6509" w:type="dxa"/>
            <w:vMerge w:val="restart"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引导要求</w:t>
            </w:r>
          </w:p>
        </w:tc>
      </w:tr>
      <w:tr w:rsidR="00C572F2" w:rsidRPr="00FA6FAE" w:rsidTr="00B0479E">
        <w:trPr>
          <w:cantSplit/>
          <w:tblHeader/>
        </w:trPr>
        <w:tc>
          <w:tcPr>
            <w:tcW w:w="1508" w:type="dxa"/>
            <w:vMerge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4549" w:type="dxa"/>
            <w:vMerge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6509" w:type="dxa"/>
            <w:vMerge/>
            <w:vAlign w:val="center"/>
          </w:tcPr>
          <w:p w:rsidR="00C572F2" w:rsidRPr="00FA6FAE" w:rsidRDefault="00C572F2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物业综合服务站（★）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以物业为主体的智能小区安防、建筑与设备维修、市政绿化、环卫管理、业主委员会议事活动用房、健康小屋、智能养老设施、消防设施联网管理、通过信息化预约等手段提供家政服务等。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建筑面积不小于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 w:cs="方正仿宋简体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新建住宅物业管理区域内，建设单位应当按照不低于地上地下总建筑面积</w:t>
            </w:r>
            <w:r w:rsidRPr="00FA6FAE">
              <w:rPr>
                <w:rFonts w:eastAsia="方正书宋_GBK"/>
                <w:sz w:val="16"/>
                <w:szCs w:val="21"/>
              </w:rPr>
              <w:t>4</w:t>
            </w:r>
            <w:r w:rsidRPr="00FA6FAE">
              <w:rPr>
                <w:rFonts w:eastAsia="方正书宋_GBK" w:hint="eastAsia"/>
                <w:sz w:val="16"/>
                <w:szCs w:val="21"/>
              </w:rPr>
              <w:t>‰的比例配置物业服务用房，低于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的按照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配置，并无偿移交。</w:t>
            </w:r>
          </w:p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集中建设的保障性住房还应当按照不低于总建筑面积</w:t>
            </w:r>
            <w:r w:rsidRPr="00FA6FAE">
              <w:rPr>
                <w:rFonts w:eastAsia="方正书宋_GBK"/>
                <w:sz w:val="16"/>
                <w:szCs w:val="21"/>
              </w:rPr>
              <w:t>3‰</w:t>
            </w:r>
            <w:r w:rsidRPr="00FA6FAE">
              <w:rPr>
                <w:rFonts w:eastAsia="方正书宋_GBK" w:hint="eastAsia"/>
                <w:sz w:val="16"/>
                <w:szCs w:val="21"/>
              </w:rPr>
              <w:t>增加配置物业服务经营性用房。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居家养老服务站（★）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为日托老人配置的设施，包括生活服务、保健康复、娱乐及辅助用房，配置必要交通工具；提供上门家政、生活照料、康复护理、应急呼救、生活咨询、助餐和送餐、文体活动、心理关爱和保健服务，开展学习活动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新建小区应按每百户不少于</w:t>
            </w:r>
            <w:r w:rsidRPr="00FA6FAE">
              <w:rPr>
                <w:rFonts w:eastAsia="方正书宋_GBK"/>
                <w:sz w:val="16"/>
                <w:szCs w:val="21"/>
              </w:rPr>
              <w:t>30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配建居家社区养老服务用房；已建成的住宅区可采取政府回购、租赁等形式，按每百户不少于</w:t>
            </w:r>
            <w:r w:rsidRPr="00FA6FAE">
              <w:rPr>
                <w:rFonts w:eastAsia="方正书宋_GBK"/>
                <w:sz w:val="16"/>
                <w:szCs w:val="21"/>
              </w:rPr>
              <w:t>15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的标准调剂解决到位。应优先在基层社区中心用地设置居家养老服务站，基层社区无法配齐的指标在街坊层级补足。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儿童、老人活动场地（☆）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儿童活动及老年人休憩设施。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170—450</w:t>
            </w: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宜结合集中绿地设置，并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休憩设施。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全民健身设施（★）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器械健身、健身路径和其他简单运动设施。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新建居住区要按室内人均建筑面积不低于</w:t>
            </w:r>
            <w:r w:rsidRPr="00FA6FAE">
              <w:rPr>
                <w:rFonts w:eastAsia="方正书宋_GBK"/>
                <w:sz w:val="16"/>
                <w:szCs w:val="21"/>
              </w:rPr>
              <w:t>0.1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或室外人均用地不低于</w:t>
            </w:r>
            <w:r w:rsidRPr="00FA6FAE">
              <w:rPr>
                <w:rFonts w:eastAsia="方正书宋_GBK"/>
                <w:sz w:val="16"/>
                <w:szCs w:val="21"/>
              </w:rPr>
              <w:t>0.3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的标准配建全民健身设施，宜结合绿地设置。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便利店（菜店、日杂等）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居民日常生活开销。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50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1000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3000</w:t>
            </w:r>
            <w:r w:rsidRPr="00FA6FAE">
              <w:rPr>
                <w:rFonts w:eastAsia="方正书宋_GBK" w:hint="eastAsia"/>
                <w:sz w:val="16"/>
                <w:szCs w:val="21"/>
              </w:rPr>
              <w:t>人设置一处。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快件服务用房（☆）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提供快递代收、代寄、代存服务的场所。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不小于</w:t>
            </w:r>
            <w:r w:rsidRPr="00FA6FAE">
              <w:rPr>
                <w:rFonts w:eastAsia="方正书宋_GBK"/>
                <w:sz w:val="16"/>
                <w:szCs w:val="21"/>
              </w:rPr>
              <w:t>25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应满足公共安全紧急事件时期“无接触”配送需求，设置在小区出入口处或具有独立对外出入口的位置，设置于在地面层可独立使用的房屋，方便居民用户收取。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邮件和快递送达设施（★）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智能信包箱等可接收邮件和快件的设施。</w:t>
            </w:r>
          </w:p>
        </w:tc>
        <w:tc>
          <w:tcPr>
            <w:tcW w:w="1127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智能信包箱的格口总数应大于或等于户数，优先布置于快件服务用房内。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lastRenderedPageBreak/>
              <w:t>生活垃圾分类收集点（★）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放置垃圾收集容器等源头垃圾收集设施和垃圾收集容器间（房）。</w:t>
            </w:r>
          </w:p>
        </w:tc>
        <w:tc>
          <w:tcPr>
            <w:tcW w:w="1134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 w:hint="eastAsia"/>
                <w:sz w:val="16"/>
                <w:szCs w:val="21"/>
              </w:rPr>
            </w:pP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在市政设施完善的地方，满足垃圾运输车通行和方便、安全作业的要求，服务半径不宜超过</w:t>
            </w:r>
            <w:r w:rsidRPr="00FA6FAE">
              <w:rPr>
                <w:rFonts w:eastAsia="方正书宋_GBK"/>
                <w:sz w:val="16"/>
                <w:szCs w:val="21"/>
              </w:rPr>
              <w:t>120</w:t>
            </w:r>
            <w:r w:rsidRPr="00FA6FAE">
              <w:rPr>
                <w:rFonts w:eastAsia="方正书宋_GBK"/>
                <w:sz w:val="16"/>
                <w:szCs w:val="21"/>
              </w:rPr>
              <w:t>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。</w:t>
            </w:r>
          </w:p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新建住宅小区每</w:t>
            </w:r>
            <w:r w:rsidRPr="00FA6FAE">
              <w:rPr>
                <w:rFonts w:eastAsia="方正书宋_GBK"/>
                <w:sz w:val="16"/>
                <w:szCs w:val="21"/>
              </w:rPr>
              <w:t>300—500</w:t>
            </w:r>
            <w:r w:rsidRPr="00FA6FAE">
              <w:rPr>
                <w:rFonts w:eastAsia="方正书宋_GBK" w:hint="eastAsia"/>
                <w:sz w:val="16"/>
                <w:szCs w:val="21"/>
              </w:rPr>
              <w:t>户配建一处一类垃圾分类收集点，建筑面积不小于</w:t>
            </w:r>
            <w:r w:rsidRPr="00FA6FAE">
              <w:rPr>
                <w:rFonts w:eastAsia="方正书宋_GBK"/>
                <w:sz w:val="16"/>
                <w:szCs w:val="21"/>
              </w:rPr>
              <w:t>25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；即有居住小区单个二类垃圾分类收集点服务范围不宜超出</w:t>
            </w:r>
            <w:r w:rsidRPr="00FA6FAE">
              <w:rPr>
                <w:rFonts w:eastAsia="方正书宋_GBK"/>
                <w:sz w:val="16"/>
                <w:szCs w:val="21"/>
              </w:rPr>
              <w:t>200</w:t>
            </w:r>
            <w:r w:rsidRPr="00FA6FAE">
              <w:rPr>
                <w:rFonts w:eastAsia="方正书宋_GBK" w:hint="eastAsia"/>
                <w:sz w:val="16"/>
                <w:szCs w:val="21"/>
              </w:rPr>
              <w:t>户，用地面积宜为</w:t>
            </w:r>
            <w:r w:rsidRPr="00FA6FAE">
              <w:rPr>
                <w:rFonts w:eastAsia="方正书宋_GBK"/>
                <w:sz w:val="16"/>
                <w:szCs w:val="21"/>
              </w:rPr>
              <w:t>6—10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再生资源回收点（☆）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居民可再生物资回收。</w:t>
            </w:r>
          </w:p>
        </w:tc>
        <w:tc>
          <w:tcPr>
            <w:tcW w:w="1134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建筑面积不小于</w:t>
            </w:r>
            <w:r w:rsidRPr="00FA6FAE">
              <w:rPr>
                <w:rFonts w:eastAsia="方正书宋_GBK"/>
                <w:sz w:val="16"/>
                <w:szCs w:val="21"/>
              </w:rPr>
              <w:t>10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1120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新建居住小区应设置</w:t>
            </w:r>
            <w:r w:rsidRPr="00FA6FAE">
              <w:rPr>
                <w:rFonts w:eastAsia="方正书宋_GBK"/>
                <w:sz w:val="16"/>
                <w:szCs w:val="21"/>
              </w:rPr>
              <w:t>1</w:t>
            </w:r>
            <w:r w:rsidRPr="00FA6FAE">
              <w:rPr>
                <w:rFonts w:eastAsia="方正书宋_GBK" w:hint="eastAsia"/>
                <w:sz w:val="16"/>
                <w:szCs w:val="21"/>
              </w:rPr>
              <w:t>处可回收物暂存区，有条件的既有居住小区参照执行。可结合生活垃圾分类收集点合建，或利用其他物业用房、地下室空间设置。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w w:val="8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80"/>
                <w:sz w:val="16"/>
                <w:szCs w:val="21"/>
              </w:rPr>
              <w:t>居民非机动车停车场（库）（★）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新建居住街坊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宜集中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设置电动自行车停车场，并宜配置充电控制设置。按照相关主管部门配建标准规定进行配置。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居民机动车停车场（库）（★）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按照相关主管部门配建标准规定进行配置。</w:t>
            </w:r>
          </w:p>
        </w:tc>
      </w:tr>
      <w:tr w:rsidR="00C572F2" w:rsidRPr="00FA6FAE" w:rsidTr="00B0479E">
        <w:trPr>
          <w:cantSplit/>
        </w:trPr>
        <w:tc>
          <w:tcPr>
            <w:tcW w:w="1508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街坊绿地（★）</w:t>
            </w:r>
          </w:p>
        </w:tc>
        <w:tc>
          <w:tcPr>
            <w:tcW w:w="454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结合住宅建筑布局设置集中绿地和宅旁绿地。</w:t>
            </w:r>
          </w:p>
        </w:tc>
        <w:tc>
          <w:tcPr>
            <w:tcW w:w="1134" w:type="dxa"/>
            <w:gridSpan w:val="2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6509" w:type="dxa"/>
            <w:vAlign w:val="center"/>
          </w:tcPr>
          <w:p w:rsidR="00C572F2" w:rsidRPr="00FA6FAE" w:rsidRDefault="00C572F2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居住街坊内集中绿地在新区建设不应低于</w:t>
            </w:r>
            <w:r w:rsidRPr="00FA6FAE">
              <w:rPr>
                <w:rFonts w:eastAsia="方正书宋_GBK"/>
                <w:sz w:val="16"/>
                <w:szCs w:val="21"/>
              </w:rPr>
              <w:t>0.5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sz w:val="16"/>
                <w:szCs w:val="21"/>
              </w:rPr>
              <w:t>人，旧区改建不应低于</w:t>
            </w:r>
            <w:r w:rsidRPr="00FA6FAE">
              <w:rPr>
                <w:rFonts w:eastAsia="方正书宋_GBK"/>
                <w:sz w:val="16"/>
                <w:szCs w:val="21"/>
              </w:rPr>
              <w:t>0.35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sz w:val="16"/>
                <w:szCs w:val="21"/>
              </w:rPr>
              <w:t>人，宽度不应小于</w:t>
            </w:r>
            <w:r w:rsidRPr="00FA6FAE">
              <w:rPr>
                <w:rFonts w:eastAsia="方正书宋_GBK"/>
                <w:sz w:val="16"/>
                <w:szCs w:val="21"/>
              </w:rPr>
              <w:t>8</w:t>
            </w:r>
            <w:r w:rsidRPr="00FA6FAE">
              <w:rPr>
                <w:rFonts w:eastAsia="方正书宋_GBK"/>
                <w:sz w:val="16"/>
                <w:szCs w:val="21"/>
              </w:rPr>
              <w:t>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，在标准的建筑日照阴影线范围之外的绿地面积不应少于</w:t>
            </w:r>
            <w:r w:rsidRPr="00FA6FAE">
              <w:rPr>
                <w:rFonts w:eastAsia="方正书宋_GBK"/>
                <w:sz w:val="16"/>
                <w:szCs w:val="21"/>
              </w:rPr>
              <w:t>1/3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，其中应兼容儿童、老人活动场地。</w:t>
            </w:r>
          </w:p>
        </w:tc>
      </w:tr>
    </w:tbl>
    <w:p w:rsidR="007A5F01" w:rsidRPr="00C572F2" w:rsidRDefault="007A5F01"/>
    <w:sectPr w:rsidR="007A5F01" w:rsidRPr="00C572F2" w:rsidSect="00C57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6E" w:rsidRDefault="00BE1E6E" w:rsidP="00C572F2">
      <w:r>
        <w:separator/>
      </w:r>
    </w:p>
  </w:endnote>
  <w:endnote w:type="continuationSeparator" w:id="0">
    <w:p w:rsidR="00BE1E6E" w:rsidRDefault="00BE1E6E" w:rsidP="00C5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6E" w:rsidRDefault="00BE1E6E" w:rsidP="00C572F2">
      <w:r>
        <w:separator/>
      </w:r>
    </w:p>
  </w:footnote>
  <w:footnote w:type="continuationSeparator" w:id="0">
    <w:p w:rsidR="00BE1E6E" w:rsidRDefault="00BE1E6E" w:rsidP="00C5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EF"/>
    <w:rsid w:val="007A5F01"/>
    <w:rsid w:val="00BE1E6E"/>
    <w:rsid w:val="00C572F2"/>
    <w:rsid w:val="00F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2023-06-26T07:39:00Z</dcterms:created>
  <dcterms:modified xsi:type="dcterms:W3CDTF">2023-06-26T07:39:00Z</dcterms:modified>
</cp:coreProperties>
</file>