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DF" w:rsidRPr="00FA6FAE" w:rsidRDefault="009744DF" w:rsidP="009744DF">
      <w:pPr>
        <w:jc w:val="center"/>
        <w:rPr>
          <w:rFonts w:ascii="方正小标宋_GBK" w:eastAsia="方正小标宋_GBK" w:hint="eastAsia"/>
          <w:sz w:val="32"/>
          <w:szCs w:val="44"/>
        </w:rPr>
      </w:pPr>
      <w:bookmarkStart w:id="0" w:name="_GoBack"/>
      <w:r w:rsidRPr="00FA6FAE">
        <w:rPr>
          <w:rFonts w:ascii="方正小标宋_GBK" w:eastAsia="方正小标宋_GBK" w:hint="eastAsia"/>
          <w:sz w:val="32"/>
          <w:szCs w:val="44"/>
        </w:rPr>
        <w:t>表</w:t>
      </w:r>
      <w:r w:rsidRPr="00FA6FAE">
        <w:rPr>
          <w:rFonts w:ascii="方正小标宋_GBK" w:eastAsia="方正小标宋_GBK"/>
          <w:sz w:val="32"/>
          <w:szCs w:val="44"/>
        </w:rPr>
        <w:t>5.3.1</w:t>
      </w:r>
      <w:r w:rsidRPr="00FA6FAE">
        <w:rPr>
          <w:rFonts w:ascii="方正小标宋_GBK" w:eastAsia="方正小标宋_GBK" w:hint="eastAsia"/>
          <w:sz w:val="32"/>
          <w:szCs w:val="44"/>
        </w:rPr>
        <w:t xml:space="preserve">  基层社区级公共设施配置标准  </w:t>
      </w:r>
      <w:r w:rsidRPr="00FA6FAE">
        <w:rPr>
          <w:rFonts w:ascii="方正小标宋_GBK" w:eastAsia="方正小标宋_GBK"/>
          <w:sz w:val="32"/>
          <w:szCs w:val="44"/>
        </w:rPr>
        <w:t>0.5</w:t>
      </w:r>
      <w:r w:rsidRPr="00FA6FAE">
        <w:rPr>
          <w:rFonts w:ascii="方正小标宋_GBK" w:eastAsia="方正小标宋_GBK" w:hint="eastAsia"/>
          <w:sz w:val="32"/>
          <w:szCs w:val="44"/>
        </w:rPr>
        <w:t>—</w:t>
      </w:r>
      <w:r w:rsidRPr="00FA6FAE">
        <w:rPr>
          <w:rFonts w:ascii="方正小标宋_GBK" w:eastAsia="方正小标宋_GBK"/>
          <w:sz w:val="32"/>
          <w:szCs w:val="44"/>
        </w:rPr>
        <w:t>1</w:t>
      </w:r>
      <w:r w:rsidRPr="00FA6FAE">
        <w:rPr>
          <w:rFonts w:ascii="方正小标宋_GBK" w:eastAsia="方正小标宋_GBK" w:hint="eastAsia"/>
          <w:sz w:val="32"/>
          <w:szCs w:val="44"/>
        </w:rPr>
        <w:t>万人</w:t>
      </w:r>
    </w:p>
    <w:bookmarkEnd w:id="0"/>
    <w:p w:rsidR="009744DF" w:rsidRPr="00FA6FAE" w:rsidRDefault="009744DF" w:rsidP="009744DF">
      <w:pPr>
        <w:rPr>
          <w:rFonts w:eastAsia="方正黑体_GBK" w:hint="eastAsia"/>
          <w:sz w:val="22"/>
          <w:szCs w:val="32"/>
        </w:rPr>
      </w:pPr>
    </w:p>
    <w:p w:rsidR="009744DF" w:rsidRPr="00FA6FAE" w:rsidRDefault="009744DF" w:rsidP="009744DF">
      <w:pPr>
        <w:rPr>
          <w:rFonts w:eastAsia="方正黑体_GBK"/>
          <w:sz w:val="22"/>
          <w:szCs w:val="32"/>
        </w:rPr>
      </w:pPr>
      <w:r w:rsidRPr="00FA6FAE">
        <w:rPr>
          <w:rFonts w:eastAsia="方正黑体_GBK" w:hint="eastAsia"/>
          <w:sz w:val="22"/>
          <w:szCs w:val="32"/>
        </w:rPr>
        <w:t>基层社区服务中心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950"/>
        <w:gridCol w:w="2809"/>
        <w:gridCol w:w="1046"/>
        <w:gridCol w:w="1046"/>
        <w:gridCol w:w="1046"/>
        <w:gridCol w:w="1046"/>
        <w:gridCol w:w="2013"/>
        <w:gridCol w:w="3583"/>
      </w:tblGrid>
      <w:tr w:rsidR="009744DF" w:rsidRPr="00FA6FAE" w:rsidTr="00B0479E">
        <w:trPr>
          <w:cantSplit/>
          <w:tblHeader/>
        </w:trPr>
        <w:tc>
          <w:tcPr>
            <w:tcW w:w="559" w:type="pct"/>
            <w:gridSpan w:val="2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设置项目</w:t>
            </w:r>
          </w:p>
        </w:tc>
        <w:tc>
          <w:tcPr>
            <w:tcW w:w="991" w:type="pct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内容</w:t>
            </w:r>
          </w:p>
        </w:tc>
        <w:tc>
          <w:tcPr>
            <w:tcW w:w="738" w:type="pct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每处一般规模</w:t>
            </w:r>
          </w:p>
        </w:tc>
        <w:tc>
          <w:tcPr>
            <w:tcW w:w="738" w:type="pct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千人指标</w:t>
            </w:r>
          </w:p>
        </w:tc>
        <w:tc>
          <w:tcPr>
            <w:tcW w:w="710" w:type="pct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配置规定</w:t>
            </w:r>
          </w:p>
        </w:tc>
        <w:tc>
          <w:tcPr>
            <w:tcW w:w="1264" w:type="pct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引导要求</w:t>
            </w:r>
          </w:p>
        </w:tc>
      </w:tr>
      <w:tr w:rsidR="009744DF" w:rsidRPr="00FA6FAE" w:rsidTr="00B0479E">
        <w:trPr>
          <w:cantSplit/>
          <w:tblHeader/>
        </w:trPr>
        <w:tc>
          <w:tcPr>
            <w:tcW w:w="559" w:type="pct"/>
            <w:gridSpan w:val="2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991" w:type="pct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710" w:type="pct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1264" w:type="pct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</w:tr>
      <w:tr w:rsidR="009744DF" w:rsidRPr="00FA6FAE" w:rsidTr="00B0479E">
        <w:trPr>
          <w:cantSplit/>
        </w:trPr>
        <w:tc>
          <w:tcPr>
            <w:tcW w:w="22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医疗卫生设施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社区卫生服务站（☆）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健康咨询、妇幼保健、老年保健、慢性病防治。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150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300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15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30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使用面积不得少于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（在卫生服务中心覆盖</w:t>
            </w:r>
            <w:proofErr w:type="gramStart"/>
            <w:r w:rsidRPr="00FA6FAE">
              <w:rPr>
                <w:rFonts w:eastAsia="方正书宋_GBK" w:cs="方正仿宋简体" w:hint="eastAsia"/>
                <w:sz w:val="16"/>
                <w:szCs w:val="21"/>
              </w:rPr>
              <w:t>不</w:t>
            </w:r>
            <w:proofErr w:type="gramEnd"/>
            <w:r w:rsidRPr="00FA6FAE">
              <w:rPr>
                <w:rFonts w:eastAsia="方正书宋_GBK" w:cs="方正仿宋简体" w:hint="eastAsia"/>
                <w:sz w:val="16"/>
                <w:szCs w:val="21"/>
              </w:rPr>
              <w:t>到处设卫生服务站，一般</w:t>
            </w:r>
            <w:r w:rsidRPr="00FA6FAE">
              <w:rPr>
                <w:rFonts w:eastAsia="方正书宋_GBK"/>
                <w:sz w:val="16"/>
                <w:szCs w:val="21"/>
              </w:rPr>
              <w:t>1</w:t>
            </w:r>
            <w:r w:rsidRPr="00FA6FAE">
              <w:rPr>
                <w:rFonts w:eastAsia="方正书宋_GBK" w:hint="eastAsia"/>
                <w:sz w:val="16"/>
                <w:szCs w:val="21"/>
              </w:rPr>
              <w:t>万居民设置一个社区卫生服务站）。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sz w:val="16"/>
                <w:szCs w:val="21"/>
              </w:rPr>
            </w:pP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于建筑首层，有独立出入口，符合无障碍通行要求。</w:t>
            </w:r>
          </w:p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提升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医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养结合服务能力，促进现有医疗卫生机构和养老机构合作，发挥互补优势，并应在建筑设计中考虑卫生防护需求，增加建筑联通和拆分灵活性。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 w:val="restar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公共文化设施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基层社区文化服务中心（★）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设置书报阅览、书画、公共电子阅览室、文娱、音乐欣赏、茶座、老年活动室、亲子活动室等，其中共享工程基层服务点设置书报阅览、书画、文娱、健身、排练等功能区。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400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600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50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80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spacing w:val="-6"/>
                <w:w w:val="80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6"/>
                <w:sz w:val="16"/>
                <w:szCs w:val="21"/>
              </w:rPr>
              <w:t>必备功能不低于</w:t>
            </w:r>
            <w:r w:rsidRPr="00FA6FAE">
              <w:rPr>
                <w:rFonts w:eastAsia="方正书宋_GBK"/>
                <w:spacing w:val="-6"/>
                <w:sz w:val="16"/>
                <w:szCs w:val="21"/>
              </w:rPr>
              <w:t>100</w:t>
            </w:r>
            <w:r w:rsidRPr="00FA6FAE">
              <w:rPr>
                <w:rFonts w:eastAsia="方正书宋_GBK" w:cs="宋体" w:hint="eastAsia"/>
                <w:spacing w:val="-6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pacing w:val="-6"/>
                <w:sz w:val="16"/>
                <w:szCs w:val="21"/>
              </w:rPr>
              <w:t>。“基层社区文化服务中心、基层社区党群服务中心”等社区用房合计达到每百户</w:t>
            </w:r>
            <w:r w:rsidRPr="00FA6FAE">
              <w:rPr>
                <w:rFonts w:eastAsia="方正书宋_GBK" w:hint="eastAsia"/>
                <w:spacing w:val="-6"/>
                <w:sz w:val="16"/>
                <w:szCs w:val="21"/>
              </w:rPr>
              <w:t>30</w:t>
            </w:r>
            <w:r w:rsidRPr="00FA6FAE">
              <w:rPr>
                <w:rFonts w:eastAsia="方正书宋_GBK" w:cs="宋体" w:hint="eastAsia"/>
                <w:spacing w:val="-6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pacing w:val="-6"/>
                <w:sz w:val="16"/>
                <w:szCs w:val="21"/>
              </w:rPr>
              <w:t>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应设置≥</w:t>
            </w:r>
            <w:r w:rsidRPr="00FA6FAE">
              <w:rPr>
                <w:rFonts w:eastAsia="方正书宋_GBK"/>
                <w:sz w:val="16"/>
                <w:szCs w:val="21"/>
              </w:rPr>
              <w:t>300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的室外文化活动场地；可与其他商业设施、体育活动设施、行政管理和社区服务设施毗邻设置，或进行混合用途设置。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社区书屋（☆）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提供书籍报刊阅览、售卖、交流、茶座等功能的场所。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宜为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pacing w:val="-6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6"/>
                <w:sz w:val="16"/>
                <w:szCs w:val="21"/>
              </w:rPr>
              <w:t>可依托社区用房、小区物业用房、小区内部公共空间建设；宜结合小型商业、城市公共空间、地铁站点、文体设施建设。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体育设施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体育活动站</w:t>
            </w:r>
            <w:r w:rsidRPr="00FA6FAE">
              <w:rPr>
                <w:rFonts w:eastAsia="方正书宋_GBK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sz w:val="16"/>
                <w:szCs w:val="21"/>
              </w:rPr>
              <w:t>场（★）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健身房、</w:t>
            </w:r>
            <w:r w:rsidRPr="00FA6FAE">
              <w:rPr>
                <w:rFonts w:eastAsia="方正书宋_GBK"/>
                <w:sz w:val="16"/>
                <w:szCs w:val="21"/>
              </w:rPr>
              <w:t>5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人制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足球场、篮球、排球、乒乓球、门球等球类场地、健身路径等体育设施。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200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≥</w:t>
            </w:r>
            <w:r w:rsidRPr="00FA6FAE">
              <w:rPr>
                <w:rFonts w:eastAsia="方正书宋_GBK"/>
                <w:sz w:val="16"/>
                <w:szCs w:val="21"/>
              </w:rPr>
              <w:t>600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20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40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80</w:t>
            </w: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宜与基层社区中心、文化活动站、社区游园结合设置；球场、健身路径可与绿地结合设置，绿地中应保证不小于</w:t>
            </w:r>
            <w:r w:rsidRPr="00FA6FAE">
              <w:rPr>
                <w:rFonts w:eastAsia="方正书宋_GBK"/>
                <w:sz w:val="16"/>
                <w:szCs w:val="21"/>
              </w:rPr>
              <w:t>150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的全民健身点。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lastRenderedPageBreak/>
              <w:t>行政管理与社区服务设施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基层社区党群服务中心（★）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含社区服务大厅，设置社会救助便民咨询窗口（服务台）；含社区居委会、社区党群活动室、综治中心及其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它基层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社区便民利民项目等。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600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900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30</w:t>
            </w:r>
            <w:r w:rsidRPr="00FA6FAE">
              <w:rPr>
                <w:rFonts w:eastAsia="方正书宋_GBK" w:cs="宋体" w:hint="eastAsia"/>
                <w:spacing w:val="-4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书宋_GBK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sz w:val="16"/>
                <w:szCs w:val="21"/>
              </w:rPr>
              <w:t>百户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pacing w:val="-4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4"/>
                <w:w w:val="90"/>
                <w:sz w:val="16"/>
                <w:szCs w:val="21"/>
              </w:rPr>
              <w:t>“基层社区文化服务中心、基层社区党群服务中心”等社区用房合计达到每百户</w:t>
            </w:r>
            <w:r w:rsidRPr="00FA6FAE">
              <w:rPr>
                <w:rFonts w:eastAsia="方正书宋_GBK"/>
                <w:spacing w:val="-4"/>
                <w:w w:val="90"/>
                <w:sz w:val="16"/>
                <w:szCs w:val="21"/>
              </w:rPr>
              <w:t>30</w:t>
            </w:r>
            <w:r w:rsidRPr="00FA6FAE">
              <w:rPr>
                <w:rFonts w:eastAsia="方正书宋_GBK" w:cs="宋体" w:hint="eastAsia"/>
                <w:spacing w:val="-4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pacing w:val="-4"/>
                <w:w w:val="90"/>
                <w:sz w:val="16"/>
                <w:szCs w:val="21"/>
              </w:rPr>
              <w:t>，基层社区党群服务中心面积应集中布局。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选择服务半径适中、便于居民办事和开展活动的地点。社区服务大厅有条件的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于建筑首层，符合无障碍通行要求。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 w:val="restar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社会福利与保障设施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居家养老服务站（★）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为日托老人配置的设施，包括生活服务、保健康复、娱乐及辅助用房，配置必要交通工具；提供上门家政、生活照料、康复护理、应急呼救、生活咨询、助餐和送餐、文体活动、心理关爱和保健服务，开展学习活动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spacing w:line="228" w:lineRule="auto"/>
              <w:rPr>
                <w:rFonts w:eastAsia="方正书宋_GBK"/>
                <w:spacing w:val="-6"/>
                <w:w w:val="80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6"/>
                <w:w w:val="80"/>
                <w:sz w:val="16"/>
                <w:szCs w:val="21"/>
              </w:rPr>
              <w:t>新建小区应按每百户不少于</w:t>
            </w:r>
            <w:r w:rsidRPr="00FA6FAE">
              <w:rPr>
                <w:rFonts w:eastAsia="方正书宋_GBK"/>
                <w:spacing w:val="-6"/>
                <w:w w:val="80"/>
                <w:sz w:val="16"/>
                <w:szCs w:val="21"/>
              </w:rPr>
              <w:t>30</w:t>
            </w:r>
            <w:r w:rsidRPr="00FA6FAE">
              <w:rPr>
                <w:rFonts w:eastAsia="方正书宋_GBK" w:cs="宋体" w:hint="eastAsia"/>
                <w:spacing w:val="-6"/>
                <w:w w:val="80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pacing w:val="-6"/>
                <w:w w:val="80"/>
                <w:sz w:val="16"/>
                <w:szCs w:val="21"/>
              </w:rPr>
              <w:t>配建居家社区养老服务用房；已建成的住宅区可采取政府回购、租赁等形式，按每百户不少于</w:t>
            </w:r>
            <w:r w:rsidRPr="00FA6FAE">
              <w:rPr>
                <w:rFonts w:eastAsia="方正书宋_GBK"/>
                <w:spacing w:val="-6"/>
                <w:w w:val="80"/>
                <w:sz w:val="16"/>
                <w:szCs w:val="21"/>
              </w:rPr>
              <w:t>15</w:t>
            </w:r>
            <w:r w:rsidRPr="00FA6FAE">
              <w:rPr>
                <w:rFonts w:eastAsia="方正书宋_GBK" w:cs="宋体" w:hint="eastAsia"/>
                <w:spacing w:val="-6"/>
                <w:w w:val="80"/>
                <w:sz w:val="16"/>
                <w:szCs w:val="21"/>
              </w:rPr>
              <w:t>平方米</w:t>
            </w:r>
            <w:r w:rsidRPr="00FA6FAE">
              <w:rPr>
                <w:rFonts w:eastAsia="方正书宋_GBK" w:hint="eastAsia"/>
                <w:spacing w:val="-6"/>
                <w:w w:val="80"/>
                <w:sz w:val="16"/>
                <w:szCs w:val="21"/>
              </w:rPr>
              <w:t>的标准调剂解决到位。应优先在基层社区中心用地设置居家养老服务站，基层社区无法配齐的指标在街坊层级补足。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满足无障碍设施建设、环境保护、消防安全、卫生防疫、食品安全、绿色建筑等要求，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于建筑物首层，临近公共绿地，并设置独立的出入口。宜临近医疗卫生、文体等公共服务设施布局。宜与基层社区卫生服务站合作运营，但应在建筑设计中考虑卫生防护需求，增加建筑联通和拆分灵活性。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托管中心（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含儿童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之家）（☆）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托管中心：提供</w:t>
            </w:r>
            <w:r w:rsidRPr="00FA6FAE">
              <w:rPr>
                <w:rFonts w:eastAsia="方正书宋_GBK"/>
                <w:sz w:val="16"/>
                <w:szCs w:val="21"/>
              </w:rPr>
              <w:t>3—12</w:t>
            </w:r>
            <w:r w:rsidRPr="00FA6FAE">
              <w:rPr>
                <w:rFonts w:eastAsia="方正书宋_GBK" w:hint="eastAsia"/>
                <w:sz w:val="16"/>
                <w:szCs w:val="21"/>
              </w:rPr>
              <w:t>周岁的幼儿、儿童托管服务。</w:t>
            </w:r>
          </w:p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儿童之家：为儿童提供文体活动和阅读娱乐场所，为开展家庭亲子活动提供场所。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建筑面积不少于</w:t>
            </w:r>
            <w:r w:rsidRPr="00FA6FAE">
              <w:rPr>
                <w:rFonts w:eastAsia="方正书宋_GBK"/>
                <w:sz w:val="16"/>
                <w:szCs w:val="21"/>
              </w:rPr>
              <w:t>200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可不独立占地。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服务半径宜为</w:t>
            </w:r>
            <w:r w:rsidRPr="00FA6FAE">
              <w:rPr>
                <w:rFonts w:eastAsia="方正书宋_GBK"/>
                <w:sz w:val="16"/>
                <w:szCs w:val="21"/>
              </w:rPr>
              <w:t>300</w:t>
            </w:r>
            <w:r w:rsidRPr="00FA6FAE">
              <w:rPr>
                <w:rFonts w:eastAsia="方正书宋_GBK"/>
                <w:sz w:val="16"/>
                <w:szCs w:val="21"/>
              </w:rPr>
              <w:t>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，宜结合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育儿园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建设、应设独立的疏散楼梯和安全出口，室外活动场地应设置安全防护措施。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残疾人之家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pacing w:val="-6"/>
                <w:w w:val="80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6"/>
                <w:w w:val="80"/>
                <w:sz w:val="16"/>
                <w:szCs w:val="21"/>
              </w:rPr>
              <w:t>以辅助性就业为主，集托养、康复、培训、文化体育、维权等各项服务为一体的残疾人综合服务，满足基层残疾人工作需要和广大残疾人服务需求。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区域面积较大的街道，可在有需求有条件的社区设立服务点或独立的“残疾人之家”方便残疾人接受服务。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lastRenderedPageBreak/>
              <w:t>商业服务设施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小型商业金融服务设施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保障基本生活需求，提供必需生活服务。必备型业种</w:t>
            </w:r>
            <w:proofErr w:type="gramStart"/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及业态包括</w:t>
            </w:r>
            <w:proofErr w:type="gramEnd"/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菜店、食杂店、报刊亭、餐饮店、理发店、维修、家庭服务。选择型业种</w:t>
            </w:r>
            <w:proofErr w:type="gramStart"/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及业态包括</w:t>
            </w:r>
            <w:proofErr w:type="gramEnd"/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超市、便利店、图书音像店、美容店、洗衣店等。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1500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200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必备功能应建</w:t>
            </w:r>
            <w:r w:rsidRPr="00FA6FAE">
              <w:rPr>
                <w:rFonts w:eastAsia="方正书宋_GBK"/>
                <w:sz w:val="16"/>
                <w:szCs w:val="21"/>
              </w:rPr>
              <w:t>500</w:t>
            </w:r>
            <w:r w:rsidRPr="00FA6FAE">
              <w:rPr>
                <w:rFonts w:eastAsia="方正书宋_GBK"/>
                <w:sz w:val="16"/>
                <w:szCs w:val="21"/>
              </w:rPr>
              <w:t>平方米</w:t>
            </w:r>
            <w:r w:rsidRPr="00FA6FAE">
              <w:rPr>
                <w:rFonts w:ascii="Cambria" w:eastAsia="方正书宋_GBK" w:hAnsi="Cambria" w:cs="Cambria" w:hint="eastAsia"/>
                <w:sz w:val="16"/>
                <w:szCs w:val="21"/>
              </w:rPr>
              <w:t>。</w:t>
            </w: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设置于建筑首层、步行交通便捷的地段，方便居民日常出行时使用。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交通设施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公共机动车停车场（☆）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按照相关主管部门配建标准规定进行配置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宜结合基层社区中心及游园设置在地下，以节省用地，充分利用地下空间。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 w:val="restar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市政公用设施</w:t>
            </w: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公厕（★）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60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100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spacing w:line="228" w:lineRule="auto"/>
              <w:rPr>
                <w:rFonts w:eastAsia="方正书宋_GBK" w:hint="eastAsia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居住用地</w:t>
            </w:r>
            <w:r w:rsidRPr="00FA6FAE">
              <w:rPr>
                <w:rFonts w:eastAsia="方正书宋_GBK"/>
                <w:sz w:val="16"/>
                <w:szCs w:val="21"/>
              </w:rPr>
              <w:t>3—5</w:t>
            </w:r>
            <w:r w:rsidRPr="00FA6FAE">
              <w:rPr>
                <w:rFonts w:eastAsia="方正书宋_GBK" w:hint="eastAsia"/>
                <w:sz w:val="16"/>
                <w:szCs w:val="21"/>
              </w:rPr>
              <w:t>座</w:t>
            </w:r>
            <w:r w:rsidRPr="00FA6FAE">
              <w:rPr>
                <w:rFonts w:eastAsia="方正书宋_GBK"/>
                <w:sz w:val="16"/>
                <w:szCs w:val="21"/>
              </w:rPr>
              <w:t>/</w:t>
            </w:r>
            <w:r w:rsidRPr="00FA6FAE">
              <w:rPr>
                <w:rFonts w:eastAsia="方正书宋_GBK"/>
                <w:sz w:val="16"/>
                <w:szCs w:val="21"/>
              </w:rPr>
              <w:t>平方公里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，应位于临街或人流密集处。若设于社区中心，应结合主体建筑设置，并应有单独的出入口和管理室。</w:t>
            </w:r>
          </w:p>
          <w:p w:rsidR="009744DF" w:rsidRPr="00FA6FAE" w:rsidRDefault="009744DF" w:rsidP="00B0479E">
            <w:pPr>
              <w:spacing w:line="228" w:lineRule="auto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设置间距在商业性街道为小于</w:t>
            </w:r>
            <w:r w:rsidRPr="00FA6FAE">
              <w:rPr>
                <w:rFonts w:eastAsia="方正书宋_GBK"/>
                <w:sz w:val="16"/>
                <w:szCs w:val="21"/>
              </w:rPr>
              <w:t>400</w:t>
            </w:r>
            <w:r w:rsidRPr="00FA6FAE">
              <w:rPr>
                <w:rFonts w:eastAsia="方正书宋_GBK" w:hint="eastAsia"/>
                <w:sz w:val="16"/>
                <w:szCs w:val="21"/>
              </w:rPr>
              <w:t>米，在生活性街道为</w:t>
            </w:r>
            <w:r w:rsidRPr="00FA6FAE">
              <w:rPr>
                <w:rFonts w:eastAsia="方正书宋_GBK"/>
                <w:sz w:val="16"/>
                <w:szCs w:val="21"/>
              </w:rPr>
              <w:t>400—600</w:t>
            </w:r>
            <w:r w:rsidRPr="00FA6FAE">
              <w:rPr>
                <w:rFonts w:eastAsia="方正书宋_GBK" w:hint="eastAsia"/>
                <w:sz w:val="16"/>
                <w:szCs w:val="21"/>
              </w:rPr>
              <w:t>米，并符合《城市环境卫生设施规划标准》（</w:t>
            </w:r>
            <w:r w:rsidRPr="00FA6FAE">
              <w:rPr>
                <w:rFonts w:eastAsia="方正书宋_GBK"/>
                <w:sz w:val="16"/>
                <w:szCs w:val="21"/>
              </w:rPr>
              <w:t>GB/T50337—2018</w:t>
            </w:r>
            <w:r w:rsidRPr="00FA6FAE">
              <w:rPr>
                <w:rFonts w:eastAsia="方正书宋_GBK" w:hint="eastAsia"/>
                <w:sz w:val="16"/>
                <w:szCs w:val="21"/>
              </w:rPr>
              <w:t>）的要求。</w:t>
            </w:r>
          </w:p>
        </w:tc>
      </w:tr>
      <w:tr w:rsidR="009744DF" w:rsidRPr="00FA6FAE" w:rsidTr="00B0479E">
        <w:trPr>
          <w:cantSplit/>
        </w:trPr>
        <w:tc>
          <w:tcPr>
            <w:tcW w:w="224" w:type="pct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公用移动通信基站（☆）</w:t>
            </w:r>
          </w:p>
        </w:tc>
        <w:tc>
          <w:tcPr>
            <w:tcW w:w="991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与移动电话终端之间进行信息传递的无线电收发信电台。</w:t>
            </w: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264" w:type="pct"/>
            <w:vAlign w:val="center"/>
          </w:tcPr>
          <w:p w:rsidR="009744DF" w:rsidRPr="00FA6FAE" w:rsidRDefault="009744DF" w:rsidP="00B0479E">
            <w:pPr>
              <w:spacing w:line="228" w:lineRule="auto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根据相关规划区话务量特点、各通信运营商在规划区内的无线覆盖目标，确定规划区内移动通信基站的平均站距、基站数量，结合基层社区中心对基站进行合理布局。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室外宏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基站可与垃圾转运站、公共厕所等设施合建。</w:t>
            </w:r>
          </w:p>
        </w:tc>
      </w:tr>
    </w:tbl>
    <w:p w:rsidR="009744DF" w:rsidRPr="00FA6FAE" w:rsidRDefault="009744DF" w:rsidP="009744DF">
      <w:pPr>
        <w:rPr>
          <w:rFonts w:eastAsia="方正黑体_GBK" w:hint="eastAsia"/>
          <w:sz w:val="22"/>
          <w:szCs w:val="32"/>
        </w:rPr>
      </w:pPr>
      <w:r w:rsidRPr="00FA6FAE">
        <w:rPr>
          <w:rFonts w:eastAsia="方正黑体_GBK" w:hint="eastAsia"/>
          <w:sz w:val="22"/>
          <w:szCs w:val="32"/>
        </w:rPr>
        <w:t>教育设施</w:t>
      </w:r>
    </w:p>
    <w:tbl>
      <w:tblPr>
        <w:tblW w:w="147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0"/>
        <w:gridCol w:w="1425"/>
        <w:gridCol w:w="1486"/>
        <w:gridCol w:w="1095"/>
        <w:gridCol w:w="1095"/>
        <w:gridCol w:w="10"/>
        <w:gridCol w:w="1086"/>
        <w:gridCol w:w="1099"/>
        <w:gridCol w:w="2086"/>
        <w:gridCol w:w="3722"/>
      </w:tblGrid>
      <w:tr w:rsidR="009744DF" w:rsidRPr="00FA6FAE" w:rsidTr="00B0479E">
        <w:trPr>
          <w:cantSplit/>
          <w:tblHeader/>
        </w:trPr>
        <w:tc>
          <w:tcPr>
            <w:tcW w:w="1660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设置项目</w:t>
            </w:r>
          </w:p>
        </w:tc>
        <w:tc>
          <w:tcPr>
            <w:tcW w:w="1425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服务人口</w:t>
            </w:r>
          </w:p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lastRenderedPageBreak/>
              <w:t>（万人）</w:t>
            </w:r>
          </w:p>
        </w:tc>
        <w:tc>
          <w:tcPr>
            <w:tcW w:w="14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lastRenderedPageBreak/>
              <w:t>服务半径（</w:t>
            </w:r>
            <w:r w:rsidRPr="00FA6FAE">
              <w:rPr>
                <w:rFonts w:eastAsia="方正黑体_GBK"/>
                <w:sz w:val="16"/>
                <w:szCs w:val="21"/>
              </w:rPr>
              <w:t>米</w:t>
            </w: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）</w:t>
            </w:r>
          </w:p>
        </w:tc>
        <w:tc>
          <w:tcPr>
            <w:tcW w:w="2190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每处一般规模</w:t>
            </w:r>
          </w:p>
        </w:tc>
        <w:tc>
          <w:tcPr>
            <w:tcW w:w="2195" w:type="dxa"/>
            <w:gridSpan w:val="3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千人指标</w:t>
            </w:r>
          </w:p>
        </w:tc>
        <w:tc>
          <w:tcPr>
            <w:tcW w:w="20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配置规定</w:t>
            </w:r>
          </w:p>
        </w:tc>
        <w:tc>
          <w:tcPr>
            <w:tcW w:w="3722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引导要求</w:t>
            </w:r>
          </w:p>
        </w:tc>
      </w:tr>
      <w:tr w:rsidR="009744DF" w:rsidRPr="00FA6FAE" w:rsidTr="00B0479E">
        <w:trPr>
          <w:cantSplit/>
          <w:tblHeader/>
        </w:trPr>
        <w:tc>
          <w:tcPr>
            <w:tcW w:w="1660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096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099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  <w:r w:rsidRPr="00FA6FAE">
              <w:rPr>
                <w:rFonts w:ascii="方正黑体_GBK"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平方米</w:t>
            </w:r>
            <w:r w:rsidRPr="00FA6FAE">
              <w:rPr>
                <w:rFonts w:ascii="方正黑体_GBK"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2086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  <w:tc>
          <w:tcPr>
            <w:tcW w:w="3722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ascii="方正黑体_GBK" w:eastAsia="方正黑体_GBK"/>
                <w:sz w:val="16"/>
                <w:szCs w:val="21"/>
              </w:rPr>
            </w:pPr>
          </w:p>
        </w:tc>
      </w:tr>
      <w:tr w:rsidR="009744DF" w:rsidRPr="00FA6FAE" w:rsidTr="00B0479E">
        <w:trPr>
          <w:cantSplit/>
        </w:trPr>
        <w:tc>
          <w:tcPr>
            <w:tcW w:w="1660" w:type="dxa"/>
            <w:vMerge w:val="restar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lastRenderedPageBreak/>
              <w:t>幼儿园（★）</w:t>
            </w:r>
          </w:p>
        </w:tc>
        <w:tc>
          <w:tcPr>
            <w:tcW w:w="1425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</w:t>
            </w:r>
          </w:p>
        </w:tc>
        <w:tc>
          <w:tcPr>
            <w:tcW w:w="14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300</w:t>
            </w:r>
          </w:p>
        </w:tc>
        <w:tc>
          <w:tcPr>
            <w:tcW w:w="1095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一般不高于</w:t>
            </w:r>
            <w:r w:rsidRPr="00FA6FAE">
              <w:rPr>
                <w:rFonts w:eastAsia="方正书宋_GBK"/>
                <w:sz w:val="16"/>
                <w:szCs w:val="21"/>
              </w:rPr>
              <w:t>4</w:t>
            </w:r>
            <w:r w:rsidRPr="00FA6FAE">
              <w:rPr>
                <w:rFonts w:eastAsia="方正书宋_GBK" w:hint="eastAsia"/>
                <w:sz w:val="16"/>
                <w:szCs w:val="21"/>
              </w:rPr>
              <w:t>轨，宜为</w:t>
            </w:r>
            <w:r w:rsidRPr="00FA6FAE">
              <w:rPr>
                <w:rFonts w:eastAsia="方正书宋_GBK"/>
                <w:sz w:val="16"/>
                <w:szCs w:val="21"/>
              </w:rPr>
              <w:t>9</w:t>
            </w:r>
            <w:r w:rsidRPr="00FA6FAE">
              <w:rPr>
                <w:rFonts w:eastAsia="方正书宋_GBK" w:hint="eastAsia"/>
                <w:sz w:val="16"/>
                <w:szCs w:val="21"/>
              </w:rPr>
              <w:t>班、</w:t>
            </w:r>
            <w:r w:rsidRPr="00FA6FAE">
              <w:rPr>
                <w:rFonts w:eastAsia="方正书宋_GBK"/>
                <w:sz w:val="16"/>
                <w:szCs w:val="21"/>
              </w:rPr>
              <w:t>12</w:t>
            </w:r>
            <w:r w:rsidRPr="00FA6FAE">
              <w:rPr>
                <w:rFonts w:eastAsia="方正书宋_GBK" w:hint="eastAsia"/>
                <w:sz w:val="16"/>
                <w:szCs w:val="21"/>
              </w:rPr>
              <w:t>班</w:t>
            </w:r>
          </w:p>
        </w:tc>
        <w:tc>
          <w:tcPr>
            <w:tcW w:w="1105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9</w:t>
            </w:r>
            <w:r w:rsidRPr="00FA6FAE">
              <w:rPr>
                <w:rFonts w:eastAsia="方正书宋_GBK" w:hint="eastAsia"/>
                <w:sz w:val="16"/>
                <w:szCs w:val="21"/>
              </w:rPr>
              <w:t>班</w:t>
            </w:r>
            <w:r w:rsidRPr="00FA6FAE">
              <w:rPr>
                <w:rFonts w:eastAsia="方正书宋_GBK"/>
                <w:sz w:val="16"/>
                <w:szCs w:val="21"/>
              </w:rPr>
              <w:t>:4050</w:t>
            </w:r>
          </w:p>
        </w:tc>
        <w:tc>
          <w:tcPr>
            <w:tcW w:w="10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324</w:t>
            </w:r>
          </w:p>
        </w:tc>
        <w:tc>
          <w:tcPr>
            <w:tcW w:w="1099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生均占地面积≥</w:t>
            </w:r>
            <w:r w:rsidRPr="00FA6FAE">
              <w:rPr>
                <w:rFonts w:eastAsia="方正书宋_GBK"/>
                <w:sz w:val="16"/>
                <w:szCs w:val="21"/>
              </w:rPr>
              <w:t>15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20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独立占地</w:t>
            </w:r>
          </w:p>
        </w:tc>
        <w:tc>
          <w:tcPr>
            <w:tcW w:w="3722" w:type="dxa"/>
            <w:vMerge w:val="restart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pacing w:val="-4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每千人口中按</w:t>
            </w:r>
            <w:r w:rsidRPr="00FA6FAE">
              <w:rPr>
                <w:rFonts w:eastAsia="方正书宋_GBK"/>
                <w:spacing w:val="-4"/>
                <w:sz w:val="16"/>
                <w:szCs w:val="21"/>
              </w:rPr>
              <w:t>36</w:t>
            </w:r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名学龄前儿童计算配建相应规模幼儿园。</w:t>
            </w:r>
            <w:r w:rsidRPr="00FA6FAE">
              <w:rPr>
                <w:rFonts w:eastAsia="方正书宋_GBK"/>
                <w:spacing w:val="-4"/>
                <w:sz w:val="16"/>
                <w:szCs w:val="21"/>
              </w:rPr>
              <w:t>30</w:t>
            </w:r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人</w:t>
            </w:r>
            <w:r w:rsidRPr="00FA6FAE">
              <w:rPr>
                <w:rFonts w:eastAsia="方正书宋_GBK"/>
                <w:spacing w:val="-4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班。应按服务范围均匀分布，独立设置于阳光充足、接近公共绿地、便于家长接送的地段。有独立院落和出入口。应设独立的室外活动场地，场地周围应采取隔离措施。</w:t>
            </w:r>
          </w:p>
        </w:tc>
      </w:tr>
      <w:tr w:rsidR="009744DF" w:rsidRPr="00FA6FAE" w:rsidTr="00B0479E">
        <w:trPr>
          <w:cantSplit/>
        </w:trPr>
        <w:tc>
          <w:tcPr>
            <w:tcW w:w="1660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12</w:t>
            </w:r>
            <w:r w:rsidRPr="00FA6FAE">
              <w:rPr>
                <w:rFonts w:eastAsia="方正书宋_GBK" w:hint="eastAsia"/>
                <w:sz w:val="16"/>
                <w:szCs w:val="21"/>
              </w:rPr>
              <w:t>班</w:t>
            </w:r>
            <w:r w:rsidRPr="00FA6FAE">
              <w:rPr>
                <w:rFonts w:eastAsia="方正书宋_GBK"/>
                <w:sz w:val="16"/>
                <w:szCs w:val="21"/>
              </w:rPr>
              <w:t>:5400</w:t>
            </w:r>
          </w:p>
        </w:tc>
        <w:tc>
          <w:tcPr>
            <w:tcW w:w="1086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099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2086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22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</w:tr>
    </w:tbl>
    <w:p w:rsidR="009744DF" w:rsidRPr="00FA6FAE" w:rsidRDefault="009744DF" w:rsidP="009744DF">
      <w:pPr>
        <w:rPr>
          <w:rFonts w:eastAsia="方正黑体_GBK"/>
          <w:sz w:val="22"/>
          <w:szCs w:val="32"/>
        </w:rPr>
      </w:pPr>
      <w:r w:rsidRPr="00FA6FAE">
        <w:rPr>
          <w:rFonts w:eastAsia="方正黑体_GBK" w:hint="eastAsia"/>
          <w:sz w:val="22"/>
          <w:szCs w:val="32"/>
        </w:rPr>
        <w:t>其他设施</w:t>
      </w:r>
    </w:p>
    <w:tbl>
      <w:tblPr>
        <w:tblW w:w="14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966"/>
        <w:gridCol w:w="2912"/>
        <w:gridCol w:w="1092"/>
        <w:gridCol w:w="1105"/>
        <w:gridCol w:w="1078"/>
        <w:gridCol w:w="1106"/>
        <w:gridCol w:w="2086"/>
        <w:gridCol w:w="3709"/>
      </w:tblGrid>
      <w:tr w:rsidR="009744DF" w:rsidRPr="00FA6FAE" w:rsidTr="00B0479E">
        <w:trPr>
          <w:cantSplit/>
          <w:tblHeader/>
        </w:trPr>
        <w:tc>
          <w:tcPr>
            <w:tcW w:w="1662" w:type="dxa"/>
            <w:gridSpan w:val="2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设置项目</w:t>
            </w:r>
          </w:p>
        </w:tc>
        <w:tc>
          <w:tcPr>
            <w:tcW w:w="2912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内容</w:t>
            </w:r>
          </w:p>
        </w:tc>
        <w:tc>
          <w:tcPr>
            <w:tcW w:w="2197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每处一般规模</w:t>
            </w:r>
          </w:p>
        </w:tc>
        <w:tc>
          <w:tcPr>
            <w:tcW w:w="2184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千人指标</w:t>
            </w:r>
          </w:p>
        </w:tc>
        <w:tc>
          <w:tcPr>
            <w:tcW w:w="20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配置规定</w:t>
            </w:r>
          </w:p>
        </w:tc>
        <w:tc>
          <w:tcPr>
            <w:tcW w:w="3709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引导要求</w:t>
            </w:r>
          </w:p>
        </w:tc>
      </w:tr>
      <w:tr w:rsidR="009744DF" w:rsidRPr="00FA6FAE" w:rsidTr="00B0479E">
        <w:trPr>
          <w:cantSplit/>
          <w:tblHeader/>
        </w:trPr>
        <w:tc>
          <w:tcPr>
            <w:tcW w:w="1662" w:type="dxa"/>
            <w:gridSpan w:val="2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2912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2086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3709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</w:tr>
      <w:tr w:rsidR="009744DF" w:rsidRPr="00FA6FAE" w:rsidTr="00B0479E">
        <w:trPr>
          <w:cantSplit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市政公用设施</w:t>
            </w:r>
          </w:p>
        </w:tc>
        <w:tc>
          <w:tcPr>
            <w:tcW w:w="96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垃圾收集站（☆）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收集居民和单位产生的垃圾，带有专用垃圾收集设备的建筑物。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pacing w:val="-6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6"/>
                <w:w w:val="90"/>
                <w:sz w:val="16"/>
                <w:szCs w:val="21"/>
              </w:rPr>
              <w:t>建筑面积不小于</w:t>
            </w:r>
            <w:r w:rsidRPr="00FA6FAE">
              <w:rPr>
                <w:rFonts w:eastAsia="方正书宋_GBK"/>
                <w:spacing w:val="-6"/>
                <w:w w:val="90"/>
                <w:sz w:val="16"/>
                <w:szCs w:val="21"/>
              </w:rPr>
              <w:t>80</w:t>
            </w:r>
            <w:r w:rsidRPr="00FA6FAE">
              <w:rPr>
                <w:rFonts w:eastAsia="方正书宋_GBK" w:cs="宋体" w:hint="eastAsia"/>
                <w:spacing w:val="-6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pacing w:val="-6"/>
                <w:w w:val="90"/>
                <w:sz w:val="16"/>
                <w:szCs w:val="21"/>
              </w:rPr>
              <w:t>，服务</w:t>
            </w:r>
            <w:r w:rsidRPr="00FA6FAE">
              <w:rPr>
                <w:rFonts w:eastAsia="方正书宋_GBK"/>
                <w:spacing w:val="-6"/>
                <w:w w:val="90"/>
                <w:sz w:val="16"/>
                <w:szCs w:val="21"/>
              </w:rPr>
              <w:t>15000</w:t>
            </w:r>
            <w:r w:rsidRPr="00FA6FAE">
              <w:rPr>
                <w:rFonts w:eastAsia="方正书宋_GBK" w:hint="eastAsia"/>
                <w:spacing w:val="-6"/>
                <w:w w:val="90"/>
                <w:sz w:val="16"/>
                <w:szCs w:val="21"/>
              </w:rPr>
              <w:t>人</w:t>
            </w: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占地不小于</w:t>
            </w:r>
            <w:r w:rsidRPr="00FA6FAE">
              <w:rPr>
                <w:rFonts w:eastAsia="方正书宋_GBK"/>
                <w:sz w:val="16"/>
                <w:szCs w:val="21"/>
              </w:rPr>
              <w:t>150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5.3</w:t>
            </w: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10</w:t>
            </w: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选址应在方便环卫车辆作业和垃圾收集车作业安全的地方。宜单独设置，单独设置的收集站建筑外墙与相邻建筑物的间隔宜大于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8.0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米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。采用人力收集，服务半径宜为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0.4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公里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，最大不宜超过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1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公里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；采用小型机动车收集，服务半径不宜超过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2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公里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。</w:t>
            </w:r>
          </w:p>
        </w:tc>
      </w:tr>
      <w:tr w:rsidR="009744DF" w:rsidRPr="00FA6FAE" w:rsidTr="00B0479E">
        <w:trPr>
          <w:cantSplit/>
        </w:trPr>
        <w:tc>
          <w:tcPr>
            <w:tcW w:w="696" w:type="dxa"/>
            <w:vMerge/>
            <w:shd w:val="clear" w:color="auto" w:fill="auto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环卫作息场（★）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供环卫工人休息、更衣、沐浴和停放小型车辆、工具等。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建筑面积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20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150</w:t>
            </w:r>
            <w:r w:rsidRPr="00FA6FAE">
              <w:rPr>
                <w:rFonts w:eastAsia="方正书宋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w w:val="90"/>
                <w:sz w:val="16"/>
                <w:szCs w:val="21"/>
              </w:rPr>
              <w:t>，服务半径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0.5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1.5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公里</w:t>
            </w: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空地面积</w:t>
            </w:r>
            <w:r w:rsidRPr="00FA6FAE">
              <w:rPr>
                <w:rFonts w:eastAsia="方正书宋_GBK"/>
                <w:sz w:val="16"/>
                <w:szCs w:val="21"/>
              </w:rPr>
              <w:t>20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60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视具体情况宜与独立式公共厕所、垃圾收集站、垃圾转运站设置在一起。</w:t>
            </w:r>
          </w:p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设置密度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0.3—1.2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座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/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平方公里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，商业区、重要公共设施、重要通客运设施等人口密度大的区域取建筑面积与设置密度上限，工业仓储区等人口密度小的区域取下限。</w:t>
            </w:r>
          </w:p>
        </w:tc>
      </w:tr>
      <w:tr w:rsidR="009744DF" w:rsidRPr="00FA6FAE" w:rsidTr="00B0479E">
        <w:trPr>
          <w:cantSplit/>
        </w:trPr>
        <w:tc>
          <w:tcPr>
            <w:tcW w:w="696" w:type="dxa"/>
            <w:shd w:val="clear" w:color="auto" w:fill="auto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市政公用设施</w:t>
            </w:r>
          </w:p>
        </w:tc>
        <w:tc>
          <w:tcPr>
            <w:tcW w:w="96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环卫车辆停放场（★）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停车场，还包括管理用房、修理工棚和清洗设施。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/>
                <w:w w:val="90"/>
                <w:sz w:val="16"/>
                <w:szCs w:val="21"/>
              </w:rPr>
              <w:t>250</w:t>
            </w:r>
            <w:r w:rsidRPr="00FA6FAE">
              <w:rPr>
                <w:rFonts w:eastAsia="方正书宋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2.5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辆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/</w:t>
            </w: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万人，按小型车计算）</w:t>
            </w: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25</w:t>
            </w: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宜设置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在服务区范围内，避开人口稠密和交通繁忙区域。视具体情况宜与垃圾收集站、垃圾转运站一起设置。</w:t>
            </w:r>
          </w:p>
        </w:tc>
      </w:tr>
    </w:tbl>
    <w:p w:rsidR="009744DF" w:rsidRPr="00FA6FAE" w:rsidRDefault="009744DF" w:rsidP="009744DF">
      <w:pPr>
        <w:rPr>
          <w:rFonts w:eastAsia="方正黑体_GBK" w:hint="eastAsia"/>
          <w:sz w:val="22"/>
          <w:szCs w:val="32"/>
        </w:rPr>
      </w:pPr>
    </w:p>
    <w:p w:rsidR="009744DF" w:rsidRPr="00FA6FAE" w:rsidRDefault="009744DF" w:rsidP="009744DF">
      <w:pPr>
        <w:rPr>
          <w:rFonts w:eastAsia="方正黑体_GBK"/>
          <w:sz w:val="22"/>
          <w:szCs w:val="32"/>
        </w:rPr>
      </w:pPr>
      <w:r w:rsidRPr="00FA6FAE">
        <w:rPr>
          <w:rFonts w:eastAsia="方正黑体_GBK" w:hint="eastAsia"/>
          <w:sz w:val="22"/>
          <w:szCs w:val="32"/>
        </w:rPr>
        <w:t>公园绿地</w:t>
      </w:r>
    </w:p>
    <w:tbl>
      <w:tblPr>
        <w:tblW w:w="14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13088"/>
      </w:tblGrid>
      <w:tr w:rsidR="009744DF" w:rsidRPr="00FA6FAE" w:rsidTr="00B0479E">
        <w:trPr>
          <w:cantSplit/>
        </w:trPr>
        <w:tc>
          <w:tcPr>
            <w:tcW w:w="166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游园（★）</w:t>
            </w:r>
          </w:p>
        </w:tc>
        <w:tc>
          <w:tcPr>
            <w:tcW w:w="13088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不小于</w:t>
            </w:r>
            <w:r w:rsidRPr="00FA6FAE">
              <w:rPr>
                <w:rFonts w:eastAsia="方正书宋_GBK"/>
                <w:sz w:val="16"/>
                <w:szCs w:val="21"/>
              </w:rPr>
              <w:t>5000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，宽度不宜小于</w:t>
            </w:r>
            <w:r w:rsidRPr="00FA6FAE">
              <w:rPr>
                <w:rFonts w:eastAsia="方正书宋_GBK"/>
                <w:sz w:val="16"/>
                <w:szCs w:val="21"/>
              </w:rPr>
              <w:t>30</w:t>
            </w:r>
            <w:r w:rsidRPr="00FA6FAE">
              <w:rPr>
                <w:rFonts w:eastAsia="方正书宋_GBK"/>
                <w:sz w:val="16"/>
                <w:szCs w:val="21"/>
              </w:rPr>
              <w:t>米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，绿地率不得低于</w:t>
            </w:r>
            <w:r w:rsidRPr="00FA6FAE">
              <w:rPr>
                <w:rFonts w:eastAsia="方正书宋_GBK"/>
                <w:sz w:val="16"/>
                <w:szCs w:val="21"/>
              </w:rPr>
              <w:t>65%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，属于旧城改造项目的不得低于</w:t>
            </w:r>
            <w:r w:rsidRPr="00FA6FAE">
              <w:rPr>
                <w:rFonts w:eastAsia="方正书宋_GBK"/>
                <w:sz w:val="16"/>
                <w:szCs w:val="21"/>
              </w:rPr>
              <w:t>60%</w:t>
            </w:r>
            <w:r w:rsidRPr="00FA6FAE">
              <w:rPr>
                <w:rFonts w:eastAsia="方正书宋_GBK" w:hint="eastAsia"/>
                <w:sz w:val="16"/>
                <w:szCs w:val="21"/>
              </w:rPr>
              <w:t>，应设置</w:t>
            </w:r>
            <w:r w:rsidRPr="00FA6FAE">
              <w:rPr>
                <w:rFonts w:eastAsia="方正书宋_GBK"/>
                <w:sz w:val="16"/>
                <w:szCs w:val="21"/>
              </w:rPr>
              <w:t>10—15%</w:t>
            </w:r>
            <w:r w:rsidRPr="00FA6FAE">
              <w:rPr>
                <w:rFonts w:eastAsia="方正书宋_GBK" w:hint="eastAsia"/>
                <w:sz w:val="16"/>
                <w:szCs w:val="21"/>
              </w:rPr>
              <w:t>的体育活动场地，兼容文化、体育活动、小型商业服务功能，临近文化活动站、体育活动站。兼顾作为社区应急避难场所，鼓励利用游园地下空间设置公共停车场（当基层社区处于城市公园服务范围内，可不集中设置）。</w:t>
            </w:r>
          </w:p>
        </w:tc>
      </w:tr>
      <w:tr w:rsidR="009744DF" w:rsidRPr="00FA6FAE" w:rsidTr="00B0479E">
        <w:trPr>
          <w:cantSplit/>
        </w:trPr>
        <w:tc>
          <w:tcPr>
            <w:tcW w:w="166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小型公共空间</w:t>
            </w:r>
          </w:p>
        </w:tc>
        <w:tc>
          <w:tcPr>
            <w:tcW w:w="13088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城市更新地区宜建，宜为</w:t>
            </w:r>
            <w:r w:rsidRPr="00FA6FAE">
              <w:rPr>
                <w:rFonts w:eastAsia="方正书宋_GBK"/>
                <w:sz w:val="16"/>
                <w:szCs w:val="21"/>
              </w:rPr>
              <w:t>300—5000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。结合城市建设，既有居住社区应结合边角地、废弃地、闲置地等改造建设，老城可适当降低标准，但不宜小于</w:t>
            </w:r>
            <w:r w:rsidRPr="00FA6FAE">
              <w:rPr>
                <w:rFonts w:eastAsia="方正书宋_GBK"/>
                <w:sz w:val="16"/>
                <w:szCs w:val="21"/>
              </w:rPr>
              <w:t>150</w:t>
            </w:r>
            <w:r w:rsidRPr="00FA6FAE">
              <w:rPr>
                <w:rFonts w:eastAsia="方正书宋_GBK" w:cs="宋体" w:hint="eastAsia"/>
                <w:sz w:val="16"/>
                <w:szCs w:val="21"/>
              </w:rPr>
              <w:t>平方米</w:t>
            </w:r>
            <w:r w:rsidRPr="00FA6FAE">
              <w:rPr>
                <w:rFonts w:eastAsia="方正书宋_GBK" w:cs="方正仿宋简体" w:hint="eastAsia"/>
                <w:sz w:val="16"/>
                <w:szCs w:val="21"/>
              </w:rPr>
              <w:t>。</w:t>
            </w:r>
          </w:p>
        </w:tc>
      </w:tr>
    </w:tbl>
    <w:p w:rsidR="009744DF" w:rsidRPr="00FA6FAE" w:rsidRDefault="009744DF" w:rsidP="009744DF">
      <w:pPr>
        <w:rPr>
          <w:rFonts w:eastAsia="方正黑体_GBK" w:hint="eastAsia"/>
          <w:sz w:val="22"/>
          <w:szCs w:val="32"/>
        </w:rPr>
      </w:pPr>
    </w:p>
    <w:p w:rsidR="009744DF" w:rsidRPr="00FA6FAE" w:rsidRDefault="009744DF" w:rsidP="009744DF">
      <w:pPr>
        <w:rPr>
          <w:rFonts w:eastAsia="方正黑体_GBK"/>
          <w:sz w:val="22"/>
          <w:szCs w:val="32"/>
        </w:rPr>
      </w:pPr>
      <w:r w:rsidRPr="00FA6FAE">
        <w:rPr>
          <w:rFonts w:eastAsia="方正黑体_GBK" w:hint="eastAsia"/>
          <w:sz w:val="22"/>
          <w:szCs w:val="32"/>
        </w:rPr>
        <w:t>公共安全</w:t>
      </w:r>
    </w:p>
    <w:tbl>
      <w:tblPr>
        <w:tblW w:w="14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2912"/>
        <w:gridCol w:w="1092"/>
        <w:gridCol w:w="1105"/>
        <w:gridCol w:w="1078"/>
        <w:gridCol w:w="1106"/>
        <w:gridCol w:w="2086"/>
        <w:gridCol w:w="3709"/>
      </w:tblGrid>
      <w:tr w:rsidR="009744DF" w:rsidRPr="00FA6FAE" w:rsidTr="00B0479E">
        <w:trPr>
          <w:cantSplit/>
          <w:tblHeader/>
        </w:trPr>
        <w:tc>
          <w:tcPr>
            <w:tcW w:w="1662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设置项目</w:t>
            </w:r>
          </w:p>
        </w:tc>
        <w:tc>
          <w:tcPr>
            <w:tcW w:w="2912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内容</w:t>
            </w:r>
          </w:p>
        </w:tc>
        <w:tc>
          <w:tcPr>
            <w:tcW w:w="2197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每处一般规模</w:t>
            </w:r>
          </w:p>
        </w:tc>
        <w:tc>
          <w:tcPr>
            <w:tcW w:w="2184" w:type="dxa"/>
            <w:gridSpan w:val="2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千人指标</w:t>
            </w:r>
          </w:p>
        </w:tc>
        <w:tc>
          <w:tcPr>
            <w:tcW w:w="2086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配置规定</w:t>
            </w:r>
          </w:p>
        </w:tc>
        <w:tc>
          <w:tcPr>
            <w:tcW w:w="3709" w:type="dxa"/>
            <w:vMerge w:val="restart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引导要求</w:t>
            </w:r>
          </w:p>
        </w:tc>
      </w:tr>
      <w:tr w:rsidR="009744DF" w:rsidRPr="00FA6FAE" w:rsidTr="00B0479E">
        <w:trPr>
          <w:cantSplit/>
          <w:tblHeader/>
        </w:trPr>
        <w:tc>
          <w:tcPr>
            <w:tcW w:w="1662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2912" w:type="dxa"/>
            <w:vMerge/>
            <w:vAlign w:val="center"/>
          </w:tcPr>
          <w:p w:rsidR="009744DF" w:rsidRPr="00FA6FAE" w:rsidRDefault="009744DF" w:rsidP="00B0479E">
            <w:pPr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建筑规模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  <w:r w:rsidRPr="00FA6FAE">
              <w:rPr>
                <w:rFonts w:eastAsia="方正黑体_GBK" w:hint="eastAsia"/>
                <w:sz w:val="16"/>
                <w:szCs w:val="21"/>
              </w:rPr>
              <w:t>用地规模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（</w:t>
            </w:r>
            <w:r w:rsidRPr="00FA6FAE">
              <w:rPr>
                <w:rFonts w:eastAsia="方正黑体_GBK" w:cs="宋体" w:hint="eastAsia"/>
                <w:w w:val="90"/>
                <w:sz w:val="16"/>
                <w:szCs w:val="21"/>
              </w:rPr>
              <w:t>平方米</w:t>
            </w:r>
            <w:r w:rsidRPr="00FA6FAE">
              <w:rPr>
                <w:rFonts w:eastAsia="方正黑体_GBK"/>
                <w:w w:val="90"/>
                <w:sz w:val="16"/>
                <w:szCs w:val="21"/>
              </w:rPr>
              <w:t>）</w:t>
            </w:r>
          </w:p>
        </w:tc>
        <w:tc>
          <w:tcPr>
            <w:tcW w:w="2086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  <w:tc>
          <w:tcPr>
            <w:tcW w:w="3709" w:type="dxa"/>
            <w:vMerge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黑体_GBK"/>
                <w:sz w:val="16"/>
                <w:szCs w:val="21"/>
              </w:rPr>
            </w:pPr>
          </w:p>
        </w:tc>
      </w:tr>
      <w:tr w:rsidR="009744DF" w:rsidRPr="00FA6FAE" w:rsidTr="00B0479E">
        <w:trPr>
          <w:cantSplit/>
        </w:trPr>
        <w:tc>
          <w:tcPr>
            <w:tcW w:w="166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社区警务室（★）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包括辅警用房，提供必要的工作和生活设施。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40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60</w:t>
            </w: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/>
                <w:sz w:val="16"/>
                <w:szCs w:val="21"/>
              </w:rPr>
              <w:t>5</w:t>
            </w:r>
            <w:r w:rsidRPr="00FA6FAE">
              <w:rPr>
                <w:rFonts w:eastAsia="方正书宋_GBK" w:hint="eastAsia"/>
                <w:sz w:val="16"/>
                <w:szCs w:val="21"/>
              </w:rPr>
              <w:t>—</w:t>
            </w:r>
            <w:r w:rsidRPr="00FA6FAE">
              <w:rPr>
                <w:rFonts w:eastAsia="方正书宋_GBK"/>
                <w:sz w:val="16"/>
                <w:szCs w:val="21"/>
              </w:rPr>
              <w:t>8</w:t>
            </w: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独立用房，有独立出入口；设置在便于</w:t>
            </w:r>
            <w:proofErr w:type="gramStart"/>
            <w:r w:rsidRPr="00FA6FAE">
              <w:rPr>
                <w:rFonts w:eastAsia="方正书宋_GBK" w:hint="eastAsia"/>
                <w:sz w:val="16"/>
                <w:szCs w:val="21"/>
              </w:rPr>
              <w:t>监街且</w:t>
            </w:r>
            <w:proofErr w:type="gramEnd"/>
            <w:r w:rsidRPr="00FA6FAE">
              <w:rPr>
                <w:rFonts w:eastAsia="方正书宋_GBK" w:hint="eastAsia"/>
                <w:sz w:val="16"/>
                <w:szCs w:val="21"/>
              </w:rPr>
              <w:t>方便居民的地点，尽可能与社区居委会相邻。</w:t>
            </w:r>
          </w:p>
        </w:tc>
      </w:tr>
      <w:tr w:rsidR="009744DF" w:rsidRPr="00FA6FAE" w:rsidTr="00B0479E">
        <w:trPr>
          <w:cantSplit/>
        </w:trPr>
        <w:tc>
          <w:tcPr>
            <w:tcW w:w="166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社区微型消防站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配置消防器材，提供扑救初期火灾、日常隐患排查、消防宣传等服务功能。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 w:hint="eastAsia"/>
                <w:spacing w:val="-4"/>
                <w:sz w:val="16"/>
                <w:szCs w:val="21"/>
              </w:rPr>
            </w:pPr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应充分利用基层社区党群服务中心等现有场地、设施，设置在便于人员出动、器材取用的位置，与其</w:t>
            </w:r>
            <w:proofErr w:type="gramStart"/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他用房综合</w:t>
            </w:r>
            <w:proofErr w:type="gramEnd"/>
            <w:r w:rsidRPr="00FA6FAE">
              <w:rPr>
                <w:rFonts w:eastAsia="方正书宋_GBK" w:hint="eastAsia"/>
                <w:spacing w:val="-4"/>
                <w:sz w:val="16"/>
                <w:szCs w:val="21"/>
              </w:rPr>
              <w:t>设置。</w:t>
            </w:r>
          </w:p>
        </w:tc>
      </w:tr>
      <w:tr w:rsidR="009744DF" w:rsidRPr="00FA6FAE" w:rsidTr="00B0479E">
        <w:trPr>
          <w:cantSplit/>
        </w:trPr>
        <w:tc>
          <w:tcPr>
            <w:tcW w:w="166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社区应急避难场所（★）</w:t>
            </w:r>
          </w:p>
        </w:tc>
        <w:tc>
          <w:tcPr>
            <w:tcW w:w="2912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用于避难人员就近紧急或临时避难的场所，用于避难人员集合并转移到固定避难场所的过渡性场所。</w:t>
            </w:r>
          </w:p>
        </w:tc>
        <w:tc>
          <w:tcPr>
            <w:tcW w:w="1092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9744DF" w:rsidRPr="00FA6FAE" w:rsidRDefault="009744DF" w:rsidP="00B0479E">
            <w:pPr>
              <w:jc w:val="center"/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w w:val="90"/>
                <w:sz w:val="16"/>
                <w:szCs w:val="21"/>
              </w:rPr>
            </w:pPr>
            <w:r w:rsidRPr="00FA6FAE">
              <w:rPr>
                <w:rFonts w:eastAsia="方正书宋_GBK" w:hint="eastAsia"/>
                <w:w w:val="90"/>
                <w:sz w:val="16"/>
                <w:szCs w:val="21"/>
              </w:rPr>
              <w:t>人均有效避难面积：</w:t>
            </w:r>
            <w:r w:rsidRPr="00FA6FAE">
              <w:rPr>
                <w:rFonts w:eastAsia="方正书宋_GBK"/>
                <w:w w:val="90"/>
                <w:sz w:val="16"/>
                <w:szCs w:val="21"/>
              </w:rPr>
              <w:t>0.5—1</w:t>
            </w:r>
            <w:r w:rsidRPr="00FA6FAE">
              <w:rPr>
                <w:rFonts w:eastAsia="方正书宋_GBK" w:cs="宋体" w:hint="eastAsia"/>
                <w:w w:val="90"/>
                <w:sz w:val="16"/>
                <w:szCs w:val="21"/>
              </w:rPr>
              <w:t>平方米</w:t>
            </w:r>
          </w:p>
        </w:tc>
        <w:tc>
          <w:tcPr>
            <w:tcW w:w="2086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</w:p>
        </w:tc>
        <w:tc>
          <w:tcPr>
            <w:tcW w:w="3709" w:type="dxa"/>
            <w:vAlign w:val="center"/>
          </w:tcPr>
          <w:p w:rsidR="009744DF" w:rsidRPr="00FA6FAE" w:rsidRDefault="009744DF" w:rsidP="00B0479E">
            <w:pPr>
              <w:rPr>
                <w:rFonts w:eastAsia="方正书宋_GBK"/>
                <w:sz w:val="16"/>
                <w:szCs w:val="21"/>
              </w:rPr>
            </w:pPr>
            <w:r w:rsidRPr="00FA6FAE">
              <w:rPr>
                <w:rFonts w:eastAsia="方正书宋_GBK" w:hint="eastAsia"/>
                <w:sz w:val="16"/>
                <w:szCs w:val="21"/>
              </w:rPr>
              <w:t>空间载体为社区游园、小广场、社区服务中心、街头绿地、小区集中绿地。</w:t>
            </w:r>
          </w:p>
        </w:tc>
      </w:tr>
    </w:tbl>
    <w:p w:rsidR="009744DF" w:rsidRPr="00FA6FAE" w:rsidRDefault="009744DF" w:rsidP="009744DF">
      <w:pPr>
        <w:ind w:left="320" w:hangingChars="200" w:hanging="320"/>
        <w:rPr>
          <w:rFonts w:eastAsia="方正书宋_GBK" w:hint="eastAsia"/>
          <w:sz w:val="16"/>
          <w:szCs w:val="21"/>
        </w:rPr>
      </w:pPr>
      <w:r w:rsidRPr="00FA6FAE">
        <w:rPr>
          <w:rFonts w:eastAsia="方正书宋_GBK" w:hint="eastAsia"/>
          <w:sz w:val="16"/>
          <w:szCs w:val="21"/>
        </w:rPr>
        <w:t>注：设置项目后带“★”号的为一类公共设施项目，为必须保障的公共设施；带“☆”号的为二类公共设施项目，为应保障的公共设施；其余项目为三类公共设施项目，</w:t>
      </w:r>
      <w:proofErr w:type="gramStart"/>
      <w:r w:rsidRPr="00FA6FAE">
        <w:rPr>
          <w:rFonts w:eastAsia="方正书宋_GBK" w:hint="eastAsia"/>
          <w:sz w:val="16"/>
          <w:szCs w:val="21"/>
        </w:rPr>
        <w:t>为宜保障</w:t>
      </w:r>
      <w:proofErr w:type="gramEnd"/>
      <w:r w:rsidRPr="00FA6FAE">
        <w:rPr>
          <w:rFonts w:eastAsia="方正书宋_GBK" w:hint="eastAsia"/>
          <w:sz w:val="16"/>
          <w:szCs w:val="21"/>
        </w:rPr>
        <w:t>的公共设施。</w:t>
      </w:r>
    </w:p>
    <w:p w:rsidR="009744DF" w:rsidRPr="00FA6FAE" w:rsidRDefault="009744DF" w:rsidP="009744DF">
      <w:pPr>
        <w:ind w:firstLineChars="200" w:firstLine="320"/>
        <w:rPr>
          <w:rFonts w:eastAsia="方正书宋_GBK"/>
          <w:sz w:val="16"/>
          <w:szCs w:val="21"/>
        </w:rPr>
      </w:pPr>
      <w:r w:rsidRPr="00FA6FAE">
        <w:rPr>
          <w:rFonts w:eastAsia="方正书宋_GBK" w:hint="eastAsia"/>
          <w:sz w:val="16"/>
          <w:szCs w:val="21"/>
        </w:rPr>
        <w:t>基层社区中心用地规模</w:t>
      </w:r>
      <w:r w:rsidRPr="00FA6FAE">
        <w:rPr>
          <w:rFonts w:eastAsia="方正书宋_GBK"/>
          <w:sz w:val="16"/>
          <w:szCs w:val="21"/>
        </w:rPr>
        <w:t>8000—9000</w:t>
      </w:r>
      <w:r w:rsidRPr="00FA6FAE">
        <w:rPr>
          <w:rFonts w:eastAsia="方正书宋_GBK" w:cs="宋体" w:hint="eastAsia"/>
          <w:w w:val="90"/>
          <w:sz w:val="16"/>
          <w:szCs w:val="21"/>
        </w:rPr>
        <w:t>平方米</w:t>
      </w:r>
      <w:r w:rsidRPr="00FA6FAE">
        <w:rPr>
          <w:rFonts w:eastAsia="方正书宋_GBK" w:hint="eastAsia"/>
          <w:sz w:val="16"/>
          <w:szCs w:val="21"/>
        </w:rPr>
        <w:t>，其中公共设施用地约</w:t>
      </w:r>
      <w:r w:rsidRPr="00FA6FAE">
        <w:rPr>
          <w:rFonts w:eastAsia="方正书宋_GBK"/>
          <w:sz w:val="16"/>
          <w:szCs w:val="21"/>
        </w:rPr>
        <w:t>3000—4000</w:t>
      </w:r>
      <w:r w:rsidRPr="00FA6FAE">
        <w:rPr>
          <w:rFonts w:eastAsia="方正书宋_GBK" w:cs="宋体" w:hint="eastAsia"/>
          <w:w w:val="90"/>
          <w:sz w:val="16"/>
          <w:szCs w:val="21"/>
        </w:rPr>
        <w:t>平方米</w:t>
      </w:r>
      <w:r w:rsidRPr="00FA6FAE">
        <w:rPr>
          <w:rFonts w:eastAsia="方正书宋_GBK" w:hint="eastAsia"/>
          <w:sz w:val="16"/>
          <w:szCs w:val="21"/>
        </w:rPr>
        <w:t>、游园不小于</w:t>
      </w:r>
      <w:r w:rsidRPr="00FA6FAE">
        <w:rPr>
          <w:rFonts w:eastAsia="方正书宋_GBK"/>
          <w:sz w:val="16"/>
          <w:szCs w:val="21"/>
        </w:rPr>
        <w:t>5000</w:t>
      </w:r>
      <w:r w:rsidRPr="00FA6FAE">
        <w:rPr>
          <w:rFonts w:eastAsia="方正书宋_GBK" w:cs="宋体" w:hint="eastAsia"/>
          <w:w w:val="90"/>
          <w:sz w:val="16"/>
          <w:szCs w:val="21"/>
        </w:rPr>
        <w:t>平方米</w:t>
      </w:r>
      <w:r w:rsidRPr="00FA6FAE">
        <w:rPr>
          <w:rFonts w:eastAsia="方正书宋_GBK" w:hint="eastAsia"/>
          <w:sz w:val="16"/>
          <w:szCs w:val="21"/>
        </w:rPr>
        <w:t>。</w:t>
      </w:r>
    </w:p>
    <w:p w:rsidR="007A5F01" w:rsidRPr="009744DF" w:rsidRDefault="007A5F01"/>
    <w:sectPr w:rsidR="007A5F01" w:rsidRPr="009744DF" w:rsidSect="00974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27" w:rsidRDefault="00034327" w:rsidP="009744DF">
      <w:r>
        <w:separator/>
      </w:r>
    </w:p>
  </w:endnote>
  <w:endnote w:type="continuationSeparator" w:id="0">
    <w:p w:rsidR="00034327" w:rsidRDefault="00034327" w:rsidP="0097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27" w:rsidRDefault="00034327" w:rsidP="009744DF">
      <w:r>
        <w:separator/>
      </w:r>
    </w:p>
  </w:footnote>
  <w:footnote w:type="continuationSeparator" w:id="0">
    <w:p w:rsidR="00034327" w:rsidRDefault="00034327" w:rsidP="0097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44"/>
    <w:rsid w:val="00034327"/>
    <w:rsid w:val="00110244"/>
    <w:rsid w:val="007A5F01"/>
    <w:rsid w:val="009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2023-06-26T07:38:00Z</dcterms:created>
  <dcterms:modified xsi:type="dcterms:W3CDTF">2023-06-26T07:39:00Z</dcterms:modified>
</cp:coreProperties>
</file>