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2022—2025</w:t>
      </w:r>
      <w:r>
        <w:rPr>
          <w:rFonts w:hint="eastAsia" w:ascii="方正小标宋_GBK" w:eastAsia="方正小标宋_GBK"/>
          <w:sz w:val="44"/>
          <w:szCs w:val="44"/>
        </w:rPr>
        <w:t>年铁路货运量目标任务表</w:t>
      </w:r>
    </w:p>
    <w:tbl>
      <w:tblPr>
        <w:tblStyle w:val="2"/>
        <w:tblW w:w="1416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737"/>
        <w:gridCol w:w="1031"/>
        <w:gridCol w:w="1034"/>
        <w:gridCol w:w="1034"/>
        <w:gridCol w:w="1034"/>
        <w:gridCol w:w="1439"/>
        <w:gridCol w:w="32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分类型</w:t>
            </w:r>
          </w:p>
        </w:tc>
        <w:tc>
          <w:tcPr>
            <w:tcW w:w="1319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重点企业</w:t>
            </w:r>
          </w:p>
        </w:tc>
        <w:tc>
          <w:tcPr>
            <w:tcW w:w="1459" w:type="pct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铁路发送量（万吨）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责任单位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实施单位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31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2022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2023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2024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2025</w:t>
            </w:r>
            <w:r>
              <w:rPr>
                <w:rFonts w:hint="eastAsia" w:ascii="方正黑体_GBK" w:eastAsia="方正黑体_GBK"/>
                <w:szCs w:val="21"/>
              </w:rPr>
              <w:t>年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总计</w:t>
            </w: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734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755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784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810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国铁发送量</w:t>
            </w: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605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625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651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672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其中：</w:t>
            </w: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南京港集团有限公司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（新生圩港区）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110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110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110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110</w:t>
            </w:r>
          </w:p>
        </w:tc>
        <w:tc>
          <w:tcPr>
            <w:tcW w:w="508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栖霞区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南京港集团、南京货运中心、市交通集团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南京港集团有限公司（龙潭港区）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23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40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南京港集团、南京货运中心、市交通集团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南京明州码头有限公司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45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南京明州码头有限公司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中国石油化工股份有限公司金陵分公司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95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中国石油化工股份有限公司金陵分公司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江苏金翔石油化工有限公司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18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20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江苏金翔石油化工有限公司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南京西坝码头有限公司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93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97</w:t>
            </w:r>
          </w:p>
        </w:tc>
        <w:tc>
          <w:tcPr>
            <w:tcW w:w="508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江北新区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南京港集团、南京货运中心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中国石化扬子石油化工有限公司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中国石化扬子石油化工有限公司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南京钢铁股份有限公司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50</w:t>
            </w:r>
          </w:p>
        </w:tc>
        <w:tc>
          <w:tcPr>
            <w:tcW w:w="50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南京钢铁股份有限公司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梅山钢铁股份有限公司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35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37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47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50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雨花台区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梅山钢铁股份有限公司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其他</w:t>
            </w: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142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126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130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南京货运中心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地方铁路发送量</w:t>
            </w:r>
          </w:p>
        </w:tc>
        <w:tc>
          <w:tcPr>
            <w:tcW w:w="131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</w:p>
        </w:tc>
        <w:tc>
          <w:tcPr>
            <w:tcW w:w="36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129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130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133</w:t>
            </w:r>
          </w:p>
        </w:tc>
        <w:tc>
          <w:tcPr>
            <w:tcW w:w="3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eastAsia="方正书宋_GBK"/>
                <w:szCs w:val="21"/>
              </w:rPr>
              <w:t>138</w:t>
            </w:r>
          </w:p>
        </w:tc>
        <w:tc>
          <w:tcPr>
            <w:tcW w:w="50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市交通集团</w:t>
            </w:r>
          </w:p>
        </w:tc>
        <w:tc>
          <w:tcPr>
            <w:tcW w:w="113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市交通集团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ZkOGNkNTdmMDhlMGY4NjUxNjBlNzRlZGVlZTAifQ=="/>
  </w:docVars>
  <w:rsids>
    <w:rsidRoot w:val="3FBC08EA"/>
    <w:rsid w:val="3FB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2023-01-28T03:00:00Z</dcterms:created>
  <dc:creator>XT</dc:creator>
  <cp:lastModifiedBy>XT</cp:lastModifiedBy>
  <dcterms:modified xsi:type="dcterms:W3CDTF">2023-01-28T03:01:15Z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92DB5CEE54BE42158420E2B8D024887E</vt:lpwstr>
  </property>
</Properties>
</file>