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94" w:rsidRPr="00866A94" w:rsidRDefault="00866A94" w:rsidP="00866A94">
      <w:pPr>
        <w:adjustRightInd w:val="0"/>
        <w:snapToGrid w:val="0"/>
        <w:spacing w:line="300" w:lineRule="auto"/>
        <w:rPr>
          <w:rFonts w:ascii="方正黑体_GBK" w:eastAsia="方正黑体_GBK"/>
          <w:sz w:val="32"/>
          <w:szCs w:val="32"/>
        </w:rPr>
      </w:pPr>
      <w:r>
        <w:rPr>
          <w:rFonts w:ascii="方正黑体_GBK" w:eastAsia="方正黑体_GBK" w:hint="eastAsia"/>
          <w:sz w:val="32"/>
          <w:szCs w:val="32"/>
        </w:rPr>
        <w:t>附件4</w:t>
      </w:r>
      <w:bookmarkStart w:id="0" w:name="_GoBack"/>
      <w:bookmarkEnd w:id="0"/>
    </w:p>
    <w:p w:rsidR="00866A94" w:rsidRDefault="00866A94" w:rsidP="00866A94">
      <w:pPr>
        <w:adjustRightInd w:val="0"/>
        <w:snapToGrid w:val="0"/>
        <w:spacing w:line="300" w:lineRule="auto"/>
        <w:jc w:val="center"/>
        <w:rPr>
          <w:rFonts w:eastAsia="方正小标宋_GBK"/>
          <w:sz w:val="44"/>
          <w:szCs w:val="44"/>
        </w:rPr>
      </w:pPr>
      <w:r>
        <w:rPr>
          <w:rFonts w:eastAsia="方正小标宋_GBK" w:hint="eastAsia"/>
          <w:sz w:val="44"/>
          <w:szCs w:val="44"/>
        </w:rPr>
        <w:t>南京市城市道路维护管理检查考核办法</w:t>
      </w:r>
    </w:p>
    <w:p w:rsidR="00866A94" w:rsidRDefault="00866A94" w:rsidP="00866A94">
      <w:pPr>
        <w:adjustRightInd w:val="0"/>
        <w:snapToGrid w:val="0"/>
        <w:spacing w:line="300" w:lineRule="auto"/>
        <w:rPr>
          <w:rFonts w:eastAsia="方正仿宋_GBK"/>
          <w:sz w:val="32"/>
          <w:szCs w:val="32"/>
        </w:rPr>
      </w:pPr>
    </w:p>
    <w:p w:rsidR="00866A94" w:rsidRDefault="00866A94" w:rsidP="00866A94">
      <w:pPr>
        <w:adjustRightInd w:val="0"/>
        <w:snapToGrid w:val="0"/>
        <w:spacing w:line="300" w:lineRule="auto"/>
        <w:jc w:val="center"/>
        <w:rPr>
          <w:rFonts w:eastAsia="方正黑体_GBK"/>
          <w:sz w:val="32"/>
          <w:szCs w:val="32"/>
        </w:rPr>
      </w:pPr>
      <w:r>
        <w:rPr>
          <w:rFonts w:eastAsia="方正黑体_GBK" w:hint="eastAsia"/>
          <w:sz w:val="32"/>
          <w:szCs w:val="32"/>
        </w:rPr>
        <w:t>第一章</w:t>
      </w:r>
      <w:r>
        <w:rPr>
          <w:rFonts w:eastAsia="方正黑体_GBK" w:hint="eastAsia"/>
          <w:sz w:val="32"/>
          <w:szCs w:val="32"/>
        </w:rPr>
        <w:t xml:space="preserve">  </w:t>
      </w:r>
      <w:r>
        <w:rPr>
          <w:rFonts w:eastAsia="方正黑体_GBK" w:hint="eastAsia"/>
          <w:sz w:val="32"/>
          <w:szCs w:val="32"/>
        </w:rPr>
        <w:t>总则</w:t>
      </w:r>
    </w:p>
    <w:p w:rsidR="00866A94" w:rsidRDefault="00866A94" w:rsidP="00866A94">
      <w:pPr>
        <w:adjustRightInd w:val="0"/>
        <w:snapToGrid w:val="0"/>
        <w:spacing w:line="300" w:lineRule="auto"/>
        <w:ind w:firstLineChars="200" w:firstLine="640"/>
        <w:rPr>
          <w:rFonts w:eastAsia="方正仿宋_GBK"/>
          <w:sz w:val="32"/>
          <w:szCs w:val="32"/>
        </w:rPr>
      </w:pP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第一条</w:t>
      </w:r>
      <w:r>
        <w:rPr>
          <w:rFonts w:eastAsia="方正仿宋_GBK" w:hint="eastAsia"/>
          <w:sz w:val="32"/>
          <w:szCs w:val="32"/>
        </w:rPr>
        <w:t xml:space="preserve">  </w:t>
      </w:r>
      <w:r>
        <w:rPr>
          <w:rFonts w:eastAsia="方正仿宋_GBK" w:hint="eastAsia"/>
          <w:sz w:val="32"/>
          <w:szCs w:val="32"/>
        </w:rPr>
        <w:t>【考核目的】为适应我市城市道路管理体制调整的需要，进一步加强城市道路规范化、精细化、长效化管理，保障设施使用功能，规范设施管理行为，提升设施管理水平，科学合理使用和管理维护经费，根据国家及省、市有关法律、法规和规范性文件，结合我市实际情况，制定本办法。</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第二条</w:t>
      </w:r>
      <w:r>
        <w:rPr>
          <w:rFonts w:eastAsia="方正仿宋_GBK" w:hint="eastAsia"/>
          <w:sz w:val="32"/>
          <w:szCs w:val="32"/>
        </w:rPr>
        <w:t xml:space="preserve">  </w:t>
      </w:r>
      <w:r>
        <w:rPr>
          <w:rFonts w:eastAsia="方正仿宋_GBK" w:hint="eastAsia"/>
          <w:sz w:val="32"/>
          <w:szCs w:val="32"/>
        </w:rPr>
        <w:t>【考核依据】城市道路设施维护管理检查考核应当遵循《行政许可法》、《城市道路管理条例》等相关法律、法规和《城镇道路养护技术规范》、《城市桥梁养护技术标准》等技术规范和行业标准。</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第三条</w:t>
      </w:r>
      <w:r>
        <w:rPr>
          <w:rFonts w:eastAsia="方正仿宋_GBK" w:hint="eastAsia"/>
          <w:sz w:val="32"/>
          <w:szCs w:val="32"/>
        </w:rPr>
        <w:t xml:space="preserve">  </w:t>
      </w:r>
      <w:r>
        <w:rPr>
          <w:rFonts w:eastAsia="方正仿宋_GBK" w:hint="eastAsia"/>
          <w:sz w:val="32"/>
          <w:szCs w:val="32"/>
        </w:rPr>
        <w:t>【适用范围】本市的城市道路维护、管理活动，适用本办法。</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本办法所称的城市道路维护管理检查考核是指南京市交通运输局（以下简称市交通运输局）对市级单位和各区城市道路维护管理的工作绩效水平及设施完好状况进行的测评工作。</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lastRenderedPageBreak/>
        <w:t>第四条</w:t>
      </w:r>
      <w:r>
        <w:rPr>
          <w:rFonts w:eastAsia="方正仿宋_GBK" w:hint="eastAsia"/>
          <w:sz w:val="32"/>
          <w:szCs w:val="32"/>
        </w:rPr>
        <w:t xml:space="preserve">  </w:t>
      </w:r>
      <w:r>
        <w:rPr>
          <w:rFonts w:eastAsia="方正仿宋_GBK" w:hint="eastAsia"/>
          <w:sz w:val="32"/>
          <w:szCs w:val="32"/>
        </w:rPr>
        <w:t>【城市道路定义】本办法所称城市道路包括道路、桥梁、隧道（含地下人行通道）。</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道路：指车行道、人行道（包括侧平石）及附属设施（包括挡墙、护坡、路名牌、隔离墩、声屏障、防护网等）。</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桥梁：指跨河桥、立交桥、高架桥、人行天桥及附属设施。</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隧道：指隧道（含地下人行通道）及附属设施。</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第五条</w:t>
      </w:r>
      <w:r>
        <w:rPr>
          <w:rFonts w:eastAsia="方正仿宋_GBK" w:hint="eastAsia"/>
          <w:sz w:val="32"/>
          <w:szCs w:val="32"/>
        </w:rPr>
        <w:t xml:space="preserve">  </w:t>
      </w:r>
      <w:r>
        <w:rPr>
          <w:rFonts w:eastAsia="方正仿宋_GBK" w:hint="eastAsia"/>
          <w:sz w:val="32"/>
          <w:szCs w:val="32"/>
        </w:rPr>
        <w:t>【考核对象】城市道路维护管理检查考核对象为全市城市道路管理及维护单位，具体分为市级组、城区组、郊区组和园区组。检查考核及排名奖惩按市级组、城区组和郊园区组（郊区组和园区组归并）分别进行。</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第六条</w:t>
      </w:r>
      <w:r>
        <w:rPr>
          <w:rFonts w:eastAsia="方正仿宋_GBK" w:hint="eastAsia"/>
          <w:sz w:val="32"/>
          <w:szCs w:val="32"/>
        </w:rPr>
        <w:t xml:space="preserve">  </w:t>
      </w:r>
      <w:r>
        <w:rPr>
          <w:rFonts w:eastAsia="方正仿宋_GBK" w:hint="eastAsia"/>
          <w:sz w:val="32"/>
          <w:szCs w:val="32"/>
        </w:rPr>
        <w:t>【基本原则】城市道路维护管理检查考核，坚持公平、公正、公开原则；坚持责、权、利相统一原则；坚持过程与结果并重原则；坚持奖惩并举原则。</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第七条</w:t>
      </w:r>
      <w:r>
        <w:rPr>
          <w:rFonts w:eastAsia="方正仿宋_GBK" w:hint="eastAsia"/>
          <w:sz w:val="32"/>
          <w:szCs w:val="32"/>
        </w:rPr>
        <w:t xml:space="preserve">  </w:t>
      </w:r>
      <w:r>
        <w:rPr>
          <w:rFonts w:eastAsia="方正仿宋_GBK" w:hint="eastAsia"/>
          <w:sz w:val="32"/>
          <w:szCs w:val="32"/>
        </w:rPr>
        <w:t>【职责分工】市交通运输局负责本办法的制定和监督管理。</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南京市城市道路管理中心（以下简称市道路中心）负责本办法的具体实施；经政府授权的市级其他城市道路设施管理部门、各区城市道路设施管理单位在市道路中心的指导下负责对本辖区范围内城市道路设施进行检查考核。</w:t>
      </w:r>
    </w:p>
    <w:p w:rsidR="00866A94" w:rsidRDefault="00866A94" w:rsidP="00866A94">
      <w:pPr>
        <w:adjustRightInd w:val="0"/>
        <w:snapToGrid w:val="0"/>
        <w:spacing w:line="300" w:lineRule="auto"/>
        <w:rPr>
          <w:rFonts w:eastAsia="方正仿宋_GBK"/>
          <w:sz w:val="32"/>
          <w:szCs w:val="32"/>
        </w:rPr>
      </w:pPr>
    </w:p>
    <w:p w:rsidR="00866A94" w:rsidRDefault="00866A94" w:rsidP="00866A94">
      <w:pPr>
        <w:adjustRightInd w:val="0"/>
        <w:snapToGrid w:val="0"/>
        <w:spacing w:line="300" w:lineRule="auto"/>
        <w:jc w:val="center"/>
        <w:rPr>
          <w:rFonts w:eastAsia="方正黑体_GBK"/>
          <w:sz w:val="32"/>
          <w:szCs w:val="32"/>
        </w:rPr>
      </w:pPr>
      <w:r>
        <w:rPr>
          <w:rFonts w:eastAsia="方正黑体_GBK" w:hint="eastAsia"/>
          <w:sz w:val="32"/>
          <w:szCs w:val="32"/>
        </w:rPr>
        <w:t>第二章</w:t>
      </w:r>
      <w:r>
        <w:rPr>
          <w:rFonts w:eastAsia="方正黑体_GBK" w:hint="eastAsia"/>
          <w:sz w:val="32"/>
          <w:szCs w:val="32"/>
        </w:rPr>
        <w:t xml:space="preserve">  </w:t>
      </w:r>
      <w:r>
        <w:rPr>
          <w:rFonts w:eastAsia="方正黑体_GBK" w:hint="eastAsia"/>
          <w:sz w:val="32"/>
          <w:szCs w:val="32"/>
        </w:rPr>
        <w:t>检查考核内容、方式及依据</w:t>
      </w:r>
    </w:p>
    <w:p w:rsidR="00866A94" w:rsidRDefault="00866A94" w:rsidP="00866A94">
      <w:pPr>
        <w:adjustRightInd w:val="0"/>
        <w:snapToGrid w:val="0"/>
        <w:spacing w:line="300" w:lineRule="auto"/>
        <w:ind w:firstLineChars="200" w:firstLine="640"/>
        <w:rPr>
          <w:rFonts w:eastAsia="方正仿宋_GBK"/>
          <w:sz w:val="32"/>
          <w:szCs w:val="32"/>
        </w:rPr>
      </w:pP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第八条</w:t>
      </w:r>
      <w:r>
        <w:rPr>
          <w:rFonts w:eastAsia="方正仿宋_GBK" w:hint="eastAsia"/>
          <w:sz w:val="32"/>
          <w:szCs w:val="32"/>
        </w:rPr>
        <w:t xml:space="preserve">  </w:t>
      </w:r>
      <w:r>
        <w:rPr>
          <w:rFonts w:eastAsia="方正仿宋_GBK" w:hint="eastAsia"/>
          <w:sz w:val="32"/>
          <w:szCs w:val="32"/>
        </w:rPr>
        <w:t>【考核内容】城市道路维护管理检查考核主要包括设施完好状况和管理绩效水平两个方面。设施完好状况和管理绩效水平各占</w:t>
      </w:r>
      <w:r>
        <w:rPr>
          <w:rFonts w:eastAsia="方正仿宋_GBK" w:hint="eastAsia"/>
          <w:sz w:val="32"/>
          <w:szCs w:val="32"/>
        </w:rPr>
        <w:t>50</w:t>
      </w:r>
      <w:r>
        <w:rPr>
          <w:rFonts w:eastAsia="方正仿宋_GBK" w:hint="eastAsia"/>
          <w:sz w:val="32"/>
          <w:szCs w:val="32"/>
        </w:rPr>
        <w:t>分，附加分另计。</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（一）设施完好状况方面</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设施综合完好状况根据相关养护技术规范要求执行（评分细则见城市道路设施维护管理检查考核评分细则）。</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设施完好状况的得分值</w:t>
      </w:r>
      <w:r>
        <w:rPr>
          <w:rFonts w:eastAsia="方正仿宋_GBK" w:hint="eastAsia"/>
          <w:sz w:val="32"/>
          <w:szCs w:val="32"/>
        </w:rPr>
        <w:t>=50</w:t>
      </w:r>
      <w:r>
        <w:rPr>
          <w:rFonts w:eastAsia="方正仿宋_GBK" w:hint="eastAsia"/>
          <w:sz w:val="32"/>
          <w:szCs w:val="32"/>
        </w:rPr>
        <w:t>分－累计扣分值。</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（二）管理绩效水平方面</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管理绩效水平按八项内容进行考核，分别为日常巡查、日常维护、台账管理、占挖管理、应急处置、安全管理、指令性任务、行业管理八个方面（评分细则见城市道路设施维护管理检查考核评分细则）。</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管理绩效水平的得分值＝</w:t>
      </w:r>
      <w:r>
        <w:rPr>
          <w:rFonts w:eastAsia="方正仿宋_GBK" w:hint="eastAsia"/>
          <w:sz w:val="32"/>
          <w:szCs w:val="32"/>
        </w:rPr>
        <w:t>50</w:t>
      </w:r>
      <w:r>
        <w:rPr>
          <w:rFonts w:eastAsia="方正仿宋_GBK" w:hint="eastAsia"/>
          <w:sz w:val="32"/>
          <w:szCs w:val="32"/>
        </w:rPr>
        <w:t>分－累计扣分值。</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（三）附加分</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受市级以上媒体（含市级）专题表扬或曝光的，每次加或减</w:t>
      </w:r>
      <w:r>
        <w:rPr>
          <w:rFonts w:eastAsia="方正仿宋_GBK" w:hint="eastAsia"/>
          <w:sz w:val="32"/>
          <w:szCs w:val="32"/>
        </w:rPr>
        <w:t>1</w:t>
      </w:r>
      <w:r>
        <w:rPr>
          <w:rFonts w:eastAsia="方正仿宋_GBK" w:hint="eastAsia"/>
          <w:sz w:val="32"/>
          <w:szCs w:val="32"/>
        </w:rPr>
        <w:t>分，累计不超过</w:t>
      </w:r>
      <w:r>
        <w:rPr>
          <w:rFonts w:eastAsia="方正仿宋_GBK" w:hint="eastAsia"/>
          <w:sz w:val="32"/>
          <w:szCs w:val="32"/>
        </w:rPr>
        <w:t>4</w:t>
      </w:r>
      <w:r>
        <w:rPr>
          <w:rFonts w:eastAsia="方正仿宋_GBK" w:hint="eastAsia"/>
          <w:sz w:val="32"/>
          <w:szCs w:val="32"/>
        </w:rPr>
        <w:t>分（需提供相关材料）。</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lastRenderedPageBreak/>
        <w:t>（四）城市道路设施维护管理检查的月度考核得分＝（设施完好水平分＋管理绩效水平分</w:t>
      </w:r>
      <w:r>
        <w:rPr>
          <w:rFonts w:eastAsia="方正仿宋_GBK" w:hint="eastAsia"/>
          <w:sz w:val="32"/>
          <w:szCs w:val="32"/>
        </w:rPr>
        <w:t>+</w:t>
      </w:r>
      <w:r>
        <w:rPr>
          <w:rFonts w:eastAsia="方正仿宋_GBK" w:hint="eastAsia"/>
          <w:sz w:val="32"/>
          <w:szCs w:val="32"/>
        </w:rPr>
        <w:t>附加分。（超过</w:t>
      </w:r>
      <w:r>
        <w:rPr>
          <w:rFonts w:eastAsia="方正仿宋_GBK" w:hint="eastAsia"/>
          <w:sz w:val="32"/>
          <w:szCs w:val="32"/>
        </w:rPr>
        <w:t>100</w:t>
      </w:r>
      <w:r>
        <w:rPr>
          <w:rFonts w:eastAsia="方正仿宋_GBK" w:hint="eastAsia"/>
          <w:sz w:val="32"/>
          <w:szCs w:val="32"/>
        </w:rPr>
        <w:t>按</w:t>
      </w:r>
      <w:r>
        <w:rPr>
          <w:rFonts w:eastAsia="方正仿宋_GBK" w:hint="eastAsia"/>
          <w:sz w:val="32"/>
          <w:szCs w:val="32"/>
        </w:rPr>
        <w:t>100</w:t>
      </w:r>
      <w:r>
        <w:rPr>
          <w:rFonts w:eastAsia="方正仿宋_GBK" w:hint="eastAsia"/>
          <w:sz w:val="32"/>
          <w:szCs w:val="32"/>
        </w:rPr>
        <w:t>分计）</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第九条</w:t>
      </w:r>
      <w:r>
        <w:rPr>
          <w:rFonts w:eastAsia="方正仿宋_GBK" w:hint="eastAsia"/>
          <w:sz w:val="32"/>
          <w:szCs w:val="32"/>
        </w:rPr>
        <w:t xml:space="preserve">  </w:t>
      </w:r>
      <w:r>
        <w:rPr>
          <w:rFonts w:eastAsia="方正仿宋_GBK" w:hint="eastAsia"/>
          <w:sz w:val="32"/>
          <w:szCs w:val="32"/>
        </w:rPr>
        <w:t>【考核重点】根据城市精细化管理相关要求，道路专业考核一大重点为设施问题的维修及时性。经市政道路三级巡查体系、数字化城管网格巡查等多种渠道发现的道路病害，均应按时限要求维修到位。（扣分条款详见城市道路设施维护管理检查考核评分细则管理绩效第</w:t>
      </w:r>
      <w:r>
        <w:rPr>
          <w:rFonts w:eastAsia="方正仿宋_GBK" w:hint="eastAsia"/>
          <w:sz w:val="32"/>
          <w:szCs w:val="32"/>
        </w:rPr>
        <w:t>2</w:t>
      </w:r>
      <w:r>
        <w:rPr>
          <w:rFonts w:eastAsia="方正仿宋_GBK" w:hint="eastAsia"/>
          <w:sz w:val="32"/>
          <w:szCs w:val="32"/>
        </w:rPr>
        <w:t>条）</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第十条</w:t>
      </w:r>
      <w:r>
        <w:rPr>
          <w:rFonts w:eastAsia="方正仿宋_GBK" w:hint="eastAsia"/>
          <w:sz w:val="32"/>
          <w:szCs w:val="32"/>
        </w:rPr>
        <w:t xml:space="preserve">  </w:t>
      </w:r>
      <w:r>
        <w:rPr>
          <w:rFonts w:eastAsia="方正仿宋_GBK" w:hint="eastAsia"/>
          <w:sz w:val="32"/>
          <w:szCs w:val="32"/>
        </w:rPr>
        <w:t>【考核方式】检查采取明查与暗查、定期检查与不定期检查、交叉检查相结合的形式。主要分月度检查、年度总评两种方式进行。</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一）月度检查：市道路中心每月组织对市属及各区（郊园区）的设施状况及管理绩效进行抽样检查及考核。根据全市重大活动等适时安排专项检查，检查发现的问题纳入当月考核扣分。经政府授权的市级其他城市道路设施管理部门及各区城市道路管理单位每月自行检查设施状况及维护现场情况，并形成书面成果。</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设施状况检查样本点按单元选取。市级组设施单元划分，道路采用养护规范中定期检测单元划分标准；桥梁小于</w:t>
      </w:r>
      <w:r>
        <w:rPr>
          <w:rFonts w:eastAsia="方正仿宋_GBK" w:hint="eastAsia"/>
          <w:sz w:val="32"/>
          <w:szCs w:val="32"/>
        </w:rPr>
        <w:t>10000</w:t>
      </w:r>
      <w:r>
        <w:rPr>
          <w:rFonts w:eastAsia="方正仿宋_GBK" w:hint="eastAsia"/>
          <w:sz w:val="32"/>
          <w:szCs w:val="32"/>
        </w:rPr>
        <w:lastRenderedPageBreak/>
        <w:t>平方米的，以每座作为一个单元，大于</w:t>
      </w:r>
      <w:r>
        <w:rPr>
          <w:rFonts w:eastAsia="方正仿宋_GBK" w:hint="eastAsia"/>
          <w:sz w:val="32"/>
          <w:szCs w:val="32"/>
        </w:rPr>
        <w:t>10000</w:t>
      </w:r>
      <w:r>
        <w:rPr>
          <w:rFonts w:eastAsia="方正仿宋_GBK" w:hint="eastAsia"/>
          <w:sz w:val="32"/>
          <w:szCs w:val="32"/>
        </w:rPr>
        <w:t>平方米的以</w:t>
      </w:r>
      <w:r>
        <w:rPr>
          <w:rFonts w:eastAsia="方正仿宋_GBK" w:hint="eastAsia"/>
          <w:sz w:val="32"/>
          <w:szCs w:val="32"/>
        </w:rPr>
        <w:t>10000</w:t>
      </w:r>
      <w:r>
        <w:rPr>
          <w:rFonts w:eastAsia="方正仿宋_GBK" w:hint="eastAsia"/>
          <w:sz w:val="32"/>
          <w:szCs w:val="32"/>
        </w:rPr>
        <w:t>平米作为一个单元，且每个单元涵盖桥梁在市桥梁管理系统中均为独立桥梁；隧道长度（含敞开段）超过</w:t>
      </w:r>
      <w:r>
        <w:rPr>
          <w:rFonts w:eastAsia="方正仿宋_GBK" w:hint="eastAsia"/>
          <w:sz w:val="32"/>
          <w:szCs w:val="32"/>
        </w:rPr>
        <w:t>500</w:t>
      </w:r>
      <w:r>
        <w:rPr>
          <w:rFonts w:eastAsia="方正仿宋_GBK" w:hint="eastAsia"/>
          <w:sz w:val="32"/>
          <w:szCs w:val="32"/>
        </w:rPr>
        <w:t>米的以单幅隧道作为一个单元，不足</w:t>
      </w:r>
      <w:r>
        <w:rPr>
          <w:rFonts w:eastAsia="方正仿宋_GBK" w:hint="eastAsia"/>
          <w:sz w:val="32"/>
          <w:szCs w:val="32"/>
        </w:rPr>
        <w:t>500</w:t>
      </w:r>
      <w:r>
        <w:rPr>
          <w:rFonts w:eastAsia="方正仿宋_GBK" w:hint="eastAsia"/>
          <w:sz w:val="32"/>
          <w:szCs w:val="32"/>
        </w:rPr>
        <w:t>米的以每座隧道作为一个单元；人行地下通道以每座作为一个单元。各维护单位分别形成一份固定的检查单元表，每年仅对设施量变动部分进行调整。原则上月度检查每次每单位抽取</w:t>
      </w:r>
      <w:r>
        <w:rPr>
          <w:rFonts w:eastAsia="方正仿宋_GBK" w:hint="eastAsia"/>
          <w:sz w:val="32"/>
          <w:szCs w:val="32"/>
        </w:rPr>
        <w:t>10</w:t>
      </w:r>
      <w:r>
        <w:rPr>
          <w:rFonts w:eastAsia="方正仿宋_GBK" w:hint="eastAsia"/>
          <w:sz w:val="32"/>
          <w:szCs w:val="32"/>
        </w:rPr>
        <w:t>个样本点，其中道路</w:t>
      </w:r>
      <w:r>
        <w:rPr>
          <w:rFonts w:eastAsia="方正仿宋_GBK" w:hint="eastAsia"/>
          <w:sz w:val="32"/>
          <w:szCs w:val="32"/>
        </w:rPr>
        <w:t>5</w:t>
      </w:r>
      <w:r>
        <w:rPr>
          <w:rFonts w:eastAsia="方正仿宋_GBK" w:hint="eastAsia"/>
          <w:sz w:val="32"/>
          <w:szCs w:val="32"/>
        </w:rPr>
        <w:t>个，桥梁</w:t>
      </w:r>
      <w:r>
        <w:rPr>
          <w:rFonts w:eastAsia="方正仿宋_GBK" w:hint="eastAsia"/>
          <w:sz w:val="32"/>
          <w:szCs w:val="32"/>
        </w:rPr>
        <w:t>4</w:t>
      </w:r>
      <w:r>
        <w:rPr>
          <w:rFonts w:eastAsia="方正仿宋_GBK" w:hint="eastAsia"/>
          <w:sz w:val="32"/>
          <w:szCs w:val="32"/>
        </w:rPr>
        <w:t>个，隧道（含人行地下通道）</w:t>
      </w:r>
      <w:r>
        <w:rPr>
          <w:rFonts w:eastAsia="方正仿宋_GBK" w:hint="eastAsia"/>
          <w:sz w:val="32"/>
          <w:szCs w:val="32"/>
        </w:rPr>
        <w:t>1</w:t>
      </w:r>
      <w:r>
        <w:rPr>
          <w:rFonts w:eastAsia="方正仿宋_GBK" w:hint="eastAsia"/>
          <w:sz w:val="32"/>
          <w:szCs w:val="32"/>
        </w:rPr>
        <w:t>个；如有专业缺项或特殊情况，由其他专业样本点补足至</w:t>
      </w:r>
      <w:r>
        <w:rPr>
          <w:rFonts w:eastAsia="方正仿宋_GBK" w:hint="eastAsia"/>
          <w:sz w:val="32"/>
          <w:szCs w:val="32"/>
        </w:rPr>
        <w:t>10</w:t>
      </w:r>
      <w:r>
        <w:rPr>
          <w:rFonts w:eastAsia="方正仿宋_GBK" w:hint="eastAsia"/>
          <w:sz w:val="32"/>
          <w:szCs w:val="32"/>
        </w:rPr>
        <w:t>个。对每月检查出的问题，次月以不低于</w:t>
      </w:r>
      <w:r>
        <w:rPr>
          <w:rFonts w:eastAsia="方正仿宋_GBK" w:hint="eastAsia"/>
          <w:sz w:val="32"/>
          <w:szCs w:val="32"/>
        </w:rPr>
        <w:t>10%</w:t>
      </w:r>
      <w:r>
        <w:rPr>
          <w:rFonts w:eastAsia="方正仿宋_GBK" w:hint="eastAsia"/>
          <w:sz w:val="32"/>
          <w:szCs w:val="32"/>
        </w:rPr>
        <w:t>作为复查内容。</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城区组、郊园区组设施单元划分，按维护单位全部养护设施量为基础，以道路交叉路口为标志，按</w:t>
      </w:r>
      <w:r>
        <w:rPr>
          <w:rFonts w:eastAsia="方正仿宋_GBK" w:hint="eastAsia"/>
          <w:sz w:val="32"/>
          <w:szCs w:val="32"/>
        </w:rPr>
        <w:t>200</w:t>
      </w:r>
      <w:r>
        <w:rPr>
          <w:rFonts w:eastAsia="方正仿宋_GBK" w:hint="eastAsia"/>
          <w:sz w:val="32"/>
          <w:szCs w:val="32"/>
        </w:rPr>
        <w:t>米左右划分快速路、主次干道检查单元，支路、街巷每条独立成单元；桥梁、隧道按座独立成单元。各维护单位分别形成一份固定的检查单元表，每年仅对设施量变动部分进行调整。原则上月度检查每次城区组抽取</w:t>
      </w:r>
      <w:r>
        <w:rPr>
          <w:rFonts w:eastAsia="方正仿宋_GBK" w:hint="eastAsia"/>
          <w:sz w:val="32"/>
          <w:szCs w:val="32"/>
        </w:rPr>
        <w:t>8</w:t>
      </w:r>
      <w:r>
        <w:rPr>
          <w:rFonts w:eastAsia="方正仿宋_GBK" w:hint="eastAsia"/>
          <w:sz w:val="32"/>
          <w:szCs w:val="32"/>
        </w:rPr>
        <w:t>个样本点，其中快速路、主次干道</w:t>
      </w:r>
      <w:r>
        <w:rPr>
          <w:rFonts w:eastAsia="方正仿宋_GBK" w:hint="eastAsia"/>
          <w:sz w:val="32"/>
          <w:szCs w:val="32"/>
        </w:rPr>
        <w:t>4</w:t>
      </w:r>
      <w:r>
        <w:rPr>
          <w:rFonts w:eastAsia="方正仿宋_GBK" w:hint="eastAsia"/>
          <w:sz w:val="32"/>
          <w:szCs w:val="32"/>
        </w:rPr>
        <w:t>个，支路、街巷</w:t>
      </w:r>
      <w:r>
        <w:rPr>
          <w:rFonts w:eastAsia="方正仿宋_GBK" w:hint="eastAsia"/>
          <w:sz w:val="32"/>
          <w:szCs w:val="32"/>
        </w:rPr>
        <w:t>2</w:t>
      </w:r>
      <w:r>
        <w:rPr>
          <w:rFonts w:eastAsia="方正仿宋_GBK" w:hint="eastAsia"/>
          <w:sz w:val="32"/>
          <w:szCs w:val="32"/>
        </w:rPr>
        <w:t>个，桥梁（隧道、过街道）</w:t>
      </w:r>
      <w:r>
        <w:rPr>
          <w:rFonts w:eastAsia="方正仿宋_GBK" w:hint="eastAsia"/>
          <w:sz w:val="32"/>
          <w:szCs w:val="32"/>
        </w:rPr>
        <w:t>2</w:t>
      </w:r>
      <w:r>
        <w:rPr>
          <w:rFonts w:eastAsia="方正仿宋_GBK" w:hint="eastAsia"/>
          <w:sz w:val="32"/>
          <w:szCs w:val="32"/>
        </w:rPr>
        <w:t>个；郊园区组抽取</w:t>
      </w:r>
      <w:r>
        <w:rPr>
          <w:rFonts w:eastAsia="方正仿宋_GBK" w:hint="eastAsia"/>
          <w:sz w:val="32"/>
          <w:szCs w:val="32"/>
        </w:rPr>
        <w:t>5</w:t>
      </w:r>
      <w:r>
        <w:rPr>
          <w:rFonts w:eastAsia="方正仿宋_GBK" w:hint="eastAsia"/>
          <w:sz w:val="32"/>
          <w:szCs w:val="32"/>
        </w:rPr>
        <w:t>个样本点，其中快速路、主次干道</w:t>
      </w:r>
      <w:r>
        <w:rPr>
          <w:rFonts w:eastAsia="方正仿宋_GBK" w:hint="eastAsia"/>
          <w:sz w:val="32"/>
          <w:szCs w:val="32"/>
        </w:rPr>
        <w:t>2</w:t>
      </w:r>
      <w:r>
        <w:rPr>
          <w:rFonts w:eastAsia="方正仿宋_GBK" w:hint="eastAsia"/>
          <w:sz w:val="32"/>
          <w:szCs w:val="32"/>
        </w:rPr>
        <w:t>个，支路、街巷</w:t>
      </w:r>
      <w:r>
        <w:rPr>
          <w:rFonts w:eastAsia="方正仿宋_GBK" w:hint="eastAsia"/>
          <w:sz w:val="32"/>
          <w:szCs w:val="32"/>
        </w:rPr>
        <w:t>2</w:t>
      </w:r>
      <w:r>
        <w:rPr>
          <w:rFonts w:eastAsia="方正仿宋_GBK" w:hint="eastAsia"/>
          <w:sz w:val="32"/>
          <w:szCs w:val="32"/>
        </w:rPr>
        <w:t>个，桥梁（隧道、过街道）</w:t>
      </w:r>
      <w:r>
        <w:rPr>
          <w:rFonts w:eastAsia="方正仿宋_GBK" w:hint="eastAsia"/>
          <w:sz w:val="32"/>
          <w:szCs w:val="32"/>
        </w:rPr>
        <w:t>1</w:t>
      </w:r>
      <w:r>
        <w:rPr>
          <w:rFonts w:eastAsia="方正仿宋_GBK" w:hint="eastAsia"/>
          <w:sz w:val="32"/>
          <w:szCs w:val="32"/>
        </w:rPr>
        <w:t>个。</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lastRenderedPageBreak/>
        <w:t>（二）年度总评：根据当年开展的精细化维护等专项活动进行专门的、全过程的检查评定。充分考虑第三方专项检测评定的结论意见、综合月度考核、专项活动成绩及财政部门对各区维护经费考核情况，每年进行一次年度总评。</w:t>
      </w:r>
    </w:p>
    <w:p w:rsidR="00866A94" w:rsidRDefault="00866A94" w:rsidP="00866A94">
      <w:pPr>
        <w:adjustRightInd w:val="0"/>
        <w:snapToGrid w:val="0"/>
        <w:spacing w:line="300" w:lineRule="auto"/>
        <w:rPr>
          <w:rFonts w:eastAsia="方正仿宋_GBK"/>
          <w:sz w:val="32"/>
          <w:szCs w:val="32"/>
        </w:rPr>
      </w:pPr>
    </w:p>
    <w:p w:rsidR="00866A94" w:rsidRDefault="00866A94" w:rsidP="00866A94">
      <w:pPr>
        <w:adjustRightInd w:val="0"/>
        <w:snapToGrid w:val="0"/>
        <w:spacing w:line="300" w:lineRule="auto"/>
        <w:jc w:val="center"/>
        <w:rPr>
          <w:rFonts w:eastAsia="方正黑体_GBK"/>
          <w:sz w:val="32"/>
          <w:szCs w:val="32"/>
        </w:rPr>
      </w:pPr>
      <w:r>
        <w:rPr>
          <w:rFonts w:eastAsia="方正黑体_GBK" w:hint="eastAsia"/>
          <w:sz w:val="32"/>
          <w:szCs w:val="32"/>
        </w:rPr>
        <w:t>第三章</w:t>
      </w:r>
      <w:r>
        <w:rPr>
          <w:rFonts w:eastAsia="方正黑体_GBK" w:hint="eastAsia"/>
          <w:sz w:val="32"/>
          <w:szCs w:val="32"/>
        </w:rPr>
        <w:t xml:space="preserve">  </w:t>
      </w:r>
      <w:r>
        <w:rPr>
          <w:rFonts w:eastAsia="方正黑体_GBK" w:hint="eastAsia"/>
          <w:sz w:val="32"/>
          <w:szCs w:val="32"/>
        </w:rPr>
        <w:t>检查考核奖惩</w:t>
      </w:r>
    </w:p>
    <w:p w:rsidR="00866A94" w:rsidRDefault="00866A94" w:rsidP="00866A94">
      <w:pPr>
        <w:adjustRightInd w:val="0"/>
        <w:snapToGrid w:val="0"/>
        <w:spacing w:line="300" w:lineRule="auto"/>
        <w:ind w:firstLineChars="200" w:firstLine="640"/>
        <w:rPr>
          <w:rFonts w:eastAsia="方正仿宋_GBK"/>
          <w:sz w:val="32"/>
          <w:szCs w:val="32"/>
        </w:rPr>
      </w:pP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第十一条</w:t>
      </w:r>
      <w:r>
        <w:rPr>
          <w:rFonts w:eastAsia="方正仿宋_GBK" w:hint="eastAsia"/>
          <w:sz w:val="32"/>
          <w:szCs w:val="32"/>
        </w:rPr>
        <w:t xml:space="preserve">  </w:t>
      </w:r>
      <w:r>
        <w:rPr>
          <w:rFonts w:eastAsia="方正仿宋_GBK" w:hint="eastAsia"/>
          <w:sz w:val="32"/>
          <w:szCs w:val="32"/>
        </w:rPr>
        <w:t>【考核通报】城市道路设施维护管理月度检查结果每月通报。每年进行一次城市道路设施维护管理总评（时间范围为</w:t>
      </w:r>
      <w:r>
        <w:rPr>
          <w:rFonts w:eastAsia="方正仿宋_GBK" w:hint="eastAsia"/>
          <w:sz w:val="32"/>
          <w:szCs w:val="32"/>
        </w:rPr>
        <w:t>12</w:t>
      </w:r>
      <w:r>
        <w:rPr>
          <w:rFonts w:eastAsia="方正仿宋_GBK" w:hint="eastAsia"/>
          <w:sz w:val="32"/>
          <w:szCs w:val="32"/>
        </w:rPr>
        <w:t>月至次年</w:t>
      </w:r>
      <w:r>
        <w:rPr>
          <w:rFonts w:eastAsia="方正仿宋_GBK" w:hint="eastAsia"/>
          <w:sz w:val="32"/>
          <w:szCs w:val="32"/>
        </w:rPr>
        <w:t>11</w:t>
      </w:r>
      <w:r>
        <w:rPr>
          <w:rFonts w:eastAsia="方正仿宋_GBK" w:hint="eastAsia"/>
          <w:sz w:val="32"/>
          <w:szCs w:val="32"/>
        </w:rPr>
        <w:t>月），结果以书面形式通报至市区相关部门和单位。</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第十二条</w:t>
      </w:r>
      <w:r>
        <w:rPr>
          <w:rFonts w:eastAsia="方正仿宋_GBK" w:hint="eastAsia"/>
          <w:sz w:val="32"/>
          <w:szCs w:val="32"/>
        </w:rPr>
        <w:t xml:space="preserve">  </w:t>
      </w:r>
      <w:r>
        <w:rPr>
          <w:rFonts w:eastAsia="方正仿宋_GBK" w:hint="eastAsia"/>
          <w:sz w:val="32"/>
          <w:szCs w:val="32"/>
        </w:rPr>
        <w:t>【市级组考核经费挂钩】为保障检查考核成效，依据《南京市市级城市维护资金管理办法》（宁财规〔</w:t>
      </w:r>
      <w:r>
        <w:rPr>
          <w:rFonts w:eastAsia="方正仿宋_GBK" w:hint="eastAsia"/>
          <w:sz w:val="32"/>
          <w:szCs w:val="32"/>
        </w:rPr>
        <w:t>2016</w:t>
      </w:r>
      <w:r>
        <w:rPr>
          <w:rFonts w:eastAsia="方正仿宋_GBK" w:hint="eastAsia"/>
          <w:sz w:val="32"/>
          <w:szCs w:val="32"/>
        </w:rPr>
        <w:t>〕</w:t>
      </w:r>
      <w:r>
        <w:rPr>
          <w:rFonts w:eastAsia="方正仿宋_GBK" w:hint="eastAsia"/>
          <w:sz w:val="32"/>
          <w:szCs w:val="32"/>
        </w:rPr>
        <w:t>9</w:t>
      </w:r>
      <w:r>
        <w:rPr>
          <w:rFonts w:eastAsia="方正仿宋_GBK" w:hint="eastAsia"/>
          <w:sz w:val="32"/>
          <w:szCs w:val="32"/>
        </w:rPr>
        <w:t>号）的要求，市级维护单位维护经费按月度考核情况进行拨付，且应用于城市道路养护。</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每月考核</w:t>
      </w:r>
      <w:r>
        <w:rPr>
          <w:rFonts w:eastAsia="方正仿宋_GBK" w:hint="eastAsia"/>
          <w:sz w:val="32"/>
          <w:szCs w:val="32"/>
        </w:rPr>
        <w:t>90</w:t>
      </w:r>
      <w:r>
        <w:rPr>
          <w:rFonts w:eastAsia="方正仿宋_GBK" w:hint="eastAsia"/>
          <w:sz w:val="32"/>
          <w:szCs w:val="32"/>
        </w:rPr>
        <w:t>分以上的单位不扣维护经费，低于</w:t>
      </w:r>
      <w:r>
        <w:rPr>
          <w:rFonts w:eastAsia="方正仿宋_GBK" w:hint="eastAsia"/>
          <w:sz w:val="32"/>
          <w:szCs w:val="32"/>
        </w:rPr>
        <w:t>90</w:t>
      </w:r>
      <w:r>
        <w:rPr>
          <w:rFonts w:eastAsia="方正仿宋_GBK" w:hint="eastAsia"/>
          <w:sz w:val="32"/>
          <w:szCs w:val="32"/>
        </w:rPr>
        <w:t>分每低</w:t>
      </w:r>
      <w:r>
        <w:rPr>
          <w:rFonts w:eastAsia="方正仿宋_GBK" w:hint="eastAsia"/>
          <w:sz w:val="32"/>
          <w:szCs w:val="32"/>
        </w:rPr>
        <w:t>1</w:t>
      </w:r>
      <w:r>
        <w:rPr>
          <w:rFonts w:eastAsia="方正仿宋_GBK" w:hint="eastAsia"/>
          <w:sz w:val="32"/>
          <w:szCs w:val="32"/>
        </w:rPr>
        <w:t>分扣</w:t>
      </w:r>
      <w:r>
        <w:rPr>
          <w:rFonts w:eastAsia="方正仿宋_GBK" w:hint="eastAsia"/>
          <w:sz w:val="32"/>
          <w:szCs w:val="32"/>
        </w:rPr>
        <w:t>0.5</w:t>
      </w:r>
      <w:r>
        <w:rPr>
          <w:rFonts w:eastAsia="方正仿宋_GBK" w:hint="eastAsia"/>
          <w:sz w:val="32"/>
          <w:szCs w:val="32"/>
        </w:rPr>
        <w:t>万元维护经费；低于</w:t>
      </w:r>
      <w:r>
        <w:rPr>
          <w:rFonts w:eastAsia="方正仿宋_GBK" w:hint="eastAsia"/>
          <w:sz w:val="32"/>
          <w:szCs w:val="32"/>
        </w:rPr>
        <w:t>80</w:t>
      </w:r>
      <w:r>
        <w:rPr>
          <w:rFonts w:eastAsia="方正仿宋_GBK" w:hint="eastAsia"/>
          <w:sz w:val="32"/>
          <w:szCs w:val="32"/>
        </w:rPr>
        <w:t>分每低</w:t>
      </w:r>
      <w:r>
        <w:rPr>
          <w:rFonts w:eastAsia="方正仿宋_GBK" w:hint="eastAsia"/>
          <w:sz w:val="32"/>
          <w:szCs w:val="32"/>
        </w:rPr>
        <w:t>1</w:t>
      </w:r>
      <w:r>
        <w:rPr>
          <w:rFonts w:eastAsia="方正仿宋_GBK" w:hint="eastAsia"/>
          <w:sz w:val="32"/>
          <w:szCs w:val="32"/>
        </w:rPr>
        <w:t>分扣</w:t>
      </w:r>
      <w:r>
        <w:rPr>
          <w:rFonts w:eastAsia="方正仿宋_GBK" w:hint="eastAsia"/>
          <w:sz w:val="32"/>
          <w:szCs w:val="32"/>
        </w:rPr>
        <w:t>1</w:t>
      </w:r>
      <w:r>
        <w:rPr>
          <w:rFonts w:eastAsia="方正仿宋_GBK" w:hint="eastAsia"/>
          <w:sz w:val="32"/>
          <w:szCs w:val="32"/>
        </w:rPr>
        <w:t>万元维护经费；低于</w:t>
      </w:r>
      <w:r>
        <w:rPr>
          <w:rFonts w:eastAsia="方正仿宋_GBK" w:hint="eastAsia"/>
          <w:sz w:val="32"/>
          <w:szCs w:val="32"/>
        </w:rPr>
        <w:t>70</w:t>
      </w:r>
      <w:r>
        <w:rPr>
          <w:rFonts w:eastAsia="方正仿宋_GBK" w:hint="eastAsia"/>
          <w:sz w:val="32"/>
          <w:szCs w:val="32"/>
        </w:rPr>
        <w:t>分每低</w:t>
      </w:r>
      <w:r>
        <w:rPr>
          <w:rFonts w:eastAsia="方正仿宋_GBK" w:hint="eastAsia"/>
          <w:sz w:val="32"/>
          <w:szCs w:val="32"/>
        </w:rPr>
        <w:t>1</w:t>
      </w:r>
      <w:r>
        <w:rPr>
          <w:rFonts w:eastAsia="方正仿宋_GBK" w:hint="eastAsia"/>
          <w:sz w:val="32"/>
          <w:szCs w:val="32"/>
        </w:rPr>
        <w:t>分扣</w:t>
      </w:r>
      <w:r>
        <w:rPr>
          <w:rFonts w:eastAsia="方正仿宋_GBK" w:hint="eastAsia"/>
          <w:sz w:val="32"/>
          <w:szCs w:val="32"/>
        </w:rPr>
        <w:t>2</w:t>
      </w:r>
      <w:r>
        <w:rPr>
          <w:rFonts w:eastAsia="方正仿宋_GBK" w:hint="eastAsia"/>
          <w:sz w:val="32"/>
          <w:szCs w:val="32"/>
        </w:rPr>
        <w:t>万元维护经费；低于</w:t>
      </w:r>
      <w:r>
        <w:rPr>
          <w:rFonts w:eastAsia="方正仿宋_GBK" w:hint="eastAsia"/>
          <w:sz w:val="32"/>
          <w:szCs w:val="32"/>
        </w:rPr>
        <w:t>60</w:t>
      </w:r>
      <w:r>
        <w:rPr>
          <w:rFonts w:eastAsia="方正仿宋_GBK" w:hint="eastAsia"/>
          <w:sz w:val="32"/>
          <w:szCs w:val="32"/>
        </w:rPr>
        <w:t>分每低</w:t>
      </w:r>
      <w:r>
        <w:rPr>
          <w:rFonts w:eastAsia="方正仿宋_GBK" w:hint="eastAsia"/>
          <w:sz w:val="32"/>
          <w:szCs w:val="32"/>
        </w:rPr>
        <w:t>1</w:t>
      </w:r>
      <w:r>
        <w:rPr>
          <w:rFonts w:eastAsia="方正仿宋_GBK" w:hint="eastAsia"/>
          <w:sz w:val="32"/>
          <w:szCs w:val="32"/>
        </w:rPr>
        <w:t>分扣</w:t>
      </w:r>
      <w:r>
        <w:rPr>
          <w:rFonts w:eastAsia="方正仿宋_GBK" w:hint="eastAsia"/>
          <w:sz w:val="32"/>
          <w:szCs w:val="32"/>
        </w:rPr>
        <w:t>3</w:t>
      </w:r>
      <w:r>
        <w:rPr>
          <w:rFonts w:eastAsia="方正仿宋_GBK" w:hint="eastAsia"/>
          <w:sz w:val="32"/>
          <w:szCs w:val="32"/>
        </w:rPr>
        <w:t>万元维护经费。</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lastRenderedPageBreak/>
        <w:t>考核扣除经费应用于城市道路维护、管理、机械化、信息化投入等方面。</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第十三条</w:t>
      </w:r>
      <w:r>
        <w:rPr>
          <w:rFonts w:eastAsia="方正仿宋_GBK" w:hint="eastAsia"/>
          <w:sz w:val="32"/>
          <w:szCs w:val="32"/>
        </w:rPr>
        <w:t xml:space="preserve">  </w:t>
      </w:r>
      <w:r>
        <w:rPr>
          <w:rFonts w:eastAsia="方正仿宋_GBK" w:hint="eastAsia"/>
          <w:sz w:val="32"/>
          <w:szCs w:val="32"/>
        </w:rPr>
        <w:t>【城区组、郊园区组考核经费挂钩】为保障检查考核成效，设立城区组、郊园区组城市道路维护管理行业考核经费，考核经费按考核结果分配，应用于城市道路维护。</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城区组总考核经费为</w:t>
      </w:r>
      <w:r>
        <w:rPr>
          <w:rFonts w:eastAsia="方正仿宋_GBK" w:hint="eastAsia"/>
          <w:sz w:val="32"/>
          <w:szCs w:val="32"/>
        </w:rPr>
        <w:t>1700</w:t>
      </w:r>
      <w:r>
        <w:rPr>
          <w:rFonts w:eastAsia="方正仿宋_GBK" w:hint="eastAsia"/>
          <w:sz w:val="32"/>
          <w:szCs w:val="32"/>
        </w:rPr>
        <w:t>万，郊园区组总考核经费为</w:t>
      </w:r>
      <w:r>
        <w:rPr>
          <w:rFonts w:eastAsia="方正仿宋_GBK" w:hint="eastAsia"/>
          <w:sz w:val="32"/>
          <w:szCs w:val="32"/>
        </w:rPr>
        <w:t>200</w:t>
      </w:r>
      <w:r>
        <w:rPr>
          <w:rFonts w:eastAsia="方正仿宋_GBK" w:hint="eastAsia"/>
          <w:sz w:val="32"/>
          <w:szCs w:val="32"/>
        </w:rPr>
        <w:t>万。</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第十四条</w:t>
      </w:r>
      <w:r>
        <w:rPr>
          <w:rFonts w:eastAsia="方正仿宋_GBK" w:hint="eastAsia"/>
          <w:sz w:val="32"/>
          <w:szCs w:val="32"/>
        </w:rPr>
        <w:t xml:space="preserve">  </w:t>
      </w:r>
      <w:r>
        <w:rPr>
          <w:rFonts w:eastAsia="方正仿宋_GBK" w:hint="eastAsia"/>
          <w:sz w:val="32"/>
          <w:szCs w:val="32"/>
        </w:rPr>
        <w:t>【城区组考核经费分配】城区组月度考核经费为</w:t>
      </w:r>
      <w:r>
        <w:rPr>
          <w:rFonts w:eastAsia="方正仿宋_GBK" w:hint="eastAsia"/>
          <w:sz w:val="32"/>
          <w:szCs w:val="32"/>
        </w:rPr>
        <w:t>1000</w:t>
      </w:r>
      <w:r>
        <w:rPr>
          <w:rFonts w:eastAsia="方正仿宋_GBK" w:hint="eastAsia"/>
          <w:sz w:val="32"/>
          <w:szCs w:val="32"/>
        </w:rPr>
        <w:t>万，其中</w:t>
      </w:r>
      <w:r>
        <w:rPr>
          <w:rFonts w:eastAsia="方正仿宋_GBK" w:hint="eastAsia"/>
          <w:sz w:val="32"/>
          <w:szCs w:val="32"/>
        </w:rPr>
        <w:t>820</w:t>
      </w:r>
      <w:r>
        <w:rPr>
          <w:rFonts w:eastAsia="方正仿宋_GBK" w:hint="eastAsia"/>
          <w:sz w:val="32"/>
          <w:szCs w:val="32"/>
        </w:rPr>
        <w:t>万为月度设施经费总基数，</w:t>
      </w:r>
      <w:r>
        <w:rPr>
          <w:rFonts w:eastAsia="方正仿宋_GBK" w:hint="eastAsia"/>
          <w:sz w:val="32"/>
          <w:szCs w:val="32"/>
        </w:rPr>
        <w:t>180</w:t>
      </w:r>
      <w:r>
        <w:rPr>
          <w:rFonts w:eastAsia="方正仿宋_GBK" w:hint="eastAsia"/>
          <w:sz w:val="32"/>
          <w:szCs w:val="32"/>
        </w:rPr>
        <w:t>万为排位奖励总数。</w:t>
      </w:r>
    </w:p>
    <w:p w:rsidR="0077099D" w:rsidRDefault="00866A94" w:rsidP="00866A94">
      <w:pPr>
        <w:rPr>
          <w:rFonts w:eastAsia="方正仿宋_GBK" w:hint="eastAsia"/>
          <w:sz w:val="32"/>
          <w:szCs w:val="32"/>
        </w:rPr>
      </w:pPr>
      <w:r>
        <w:rPr>
          <w:rFonts w:eastAsia="方正仿宋_GBK" w:hint="eastAsia"/>
          <w:sz w:val="32"/>
          <w:szCs w:val="32"/>
        </w:rPr>
        <w:t>某区月度考核经费</w:t>
      </w:r>
      <w:r>
        <w:rPr>
          <w:rFonts w:eastAsia="方正仿宋_GBK" w:hint="eastAsia"/>
          <w:sz w:val="32"/>
          <w:szCs w:val="32"/>
        </w:rPr>
        <w:t>=</w:t>
      </w:r>
      <w:r>
        <w:rPr>
          <w:rFonts w:eastAsia="方正仿宋_GBK" w:hint="eastAsia"/>
          <w:sz w:val="32"/>
          <w:szCs w:val="32"/>
        </w:rPr>
        <w:t>某区月度设施经费基数</w:t>
      </w:r>
      <w:r>
        <w:rPr>
          <w:rFonts w:eastAsia="方正仿宋_GBK" w:hint="eastAsia"/>
          <w:sz w:val="32"/>
          <w:szCs w:val="32"/>
        </w:rPr>
        <w:t>+</w:t>
      </w:r>
      <w:r>
        <w:rPr>
          <w:rFonts w:eastAsia="方正仿宋_GBK" w:hint="eastAsia"/>
          <w:sz w:val="32"/>
          <w:szCs w:val="32"/>
        </w:rPr>
        <w:t>考核扣减数</w:t>
      </w:r>
      <w:r>
        <w:rPr>
          <w:rFonts w:eastAsia="方正仿宋_GBK" w:hint="eastAsia"/>
          <w:sz w:val="32"/>
          <w:szCs w:val="32"/>
        </w:rPr>
        <w:t>+</w:t>
      </w:r>
      <w:r>
        <w:rPr>
          <w:rFonts w:eastAsia="方正仿宋_GBK" w:hint="eastAsia"/>
          <w:sz w:val="32"/>
          <w:szCs w:val="32"/>
        </w:rPr>
        <w:t>排位奖励数。各区月度设施经费基数根据各区设施维护基数占总维护基数比重分配见表一。考核扣减数计法为：</w:t>
      </w:r>
      <w:r>
        <w:rPr>
          <w:rFonts w:eastAsia="方正仿宋_GBK" w:hint="eastAsia"/>
          <w:sz w:val="32"/>
          <w:szCs w:val="32"/>
        </w:rPr>
        <w:t>96</w:t>
      </w:r>
      <w:r>
        <w:rPr>
          <w:rFonts w:eastAsia="方正仿宋_GBK" w:hint="eastAsia"/>
          <w:sz w:val="32"/>
          <w:szCs w:val="32"/>
        </w:rPr>
        <w:t>分及以上不扣减，</w:t>
      </w:r>
      <w:r>
        <w:rPr>
          <w:rFonts w:eastAsia="方正仿宋_GBK" w:hint="eastAsia"/>
          <w:sz w:val="32"/>
          <w:szCs w:val="32"/>
        </w:rPr>
        <w:t>95</w:t>
      </w:r>
      <w:r>
        <w:rPr>
          <w:rFonts w:eastAsia="方正仿宋_GBK" w:hint="eastAsia"/>
          <w:sz w:val="32"/>
          <w:szCs w:val="32"/>
        </w:rPr>
        <w:t>至</w:t>
      </w:r>
      <w:r>
        <w:rPr>
          <w:rFonts w:eastAsia="方正仿宋_GBK" w:hint="eastAsia"/>
          <w:sz w:val="32"/>
          <w:szCs w:val="32"/>
        </w:rPr>
        <w:t>90</w:t>
      </w:r>
      <w:r>
        <w:rPr>
          <w:rFonts w:eastAsia="方正仿宋_GBK" w:hint="eastAsia"/>
          <w:sz w:val="32"/>
          <w:szCs w:val="32"/>
        </w:rPr>
        <w:t>分每低一分扣</w:t>
      </w:r>
      <w:r>
        <w:rPr>
          <w:rFonts w:eastAsia="方正仿宋_GBK" w:hint="eastAsia"/>
          <w:sz w:val="32"/>
          <w:szCs w:val="32"/>
        </w:rPr>
        <w:t>0.5</w:t>
      </w:r>
      <w:r>
        <w:rPr>
          <w:rFonts w:eastAsia="方正仿宋_GBK" w:hint="eastAsia"/>
          <w:sz w:val="32"/>
          <w:szCs w:val="32"/>
        </w:rPr>
        <w:t>万元，</w:t>
      </w:r>
      <w:r>
        <w:rPr>
          <w:rFonts w:eastAsia="方正仿宋_GBK" w:hint="eastAsia"/>
          <w:sz w:val="32"/>
          <w:szCs w:val="32"/>
        </w:rPr>
        <w:t>89</w:t>
      </w:r>
      <w:r>
        <w:rPr>
          <w:rFonts w:eastAsia="方正仿宋_GBK" w:hint="eastAsia"/>
          <w:sz w:val="32"/>
          <w:szCs w:val="32"/>
        </w:rPr>
        <w:t>分至</w:t>
      </w:r>
      <w:r>
        <w:rPr>
          <w:rFonts w:eastAsia="方正仿宋_GBK" w:hint="eastAsia"/>
          <w:sz w:val="32"/>
          <w:szCs w:val="32"/>
        </w:rPr>
        <w:t>80</w:t>
      </w:r>
      <w:r>
        <w:rPr>
          <w:rFonts w:eastAsia="方正仿宋_GBK" w:hint="eastAsia"/>
          <w:sz w:val="32"/>
          <w:szCs w:val="32"/>
        </w:rPr>
        <w:t>分每低一分扣</w:t>
      </w:r>
      <w:r>
        <w:rPr>
          <w:rFonts w:eastAsia="方正仿宋_GBK" w:hint="eastAsia"/>
          <w:sz w:val="32"/>
          <w:szCs w:val="32"/>
        </w:rPr>
        <w:t>1</w:t>
      </w:r>
      <w:r>
        <w:rPr>
          <w:rFonts w:eastAsia="方正仿宋_GBK" w:hint="eastAsia"/>
          <w:sz w:val="32"/>
          <w:szCs w:val="32"/>
        </w:rPr>
        <w:t>万元，</w:t>
      </w:r>
      <w:r>
        <w:rPr>
          <w:rFonts w:eastAsia="方正仿宋_GBK" w:hint="eastAsia"/>
          <w:sz w:val="32"/>
          <w:szCs w:val="32"/>
        </w:rPr>
        <w:t>79</w:t>
      </w:r>
      <w:r>
        <w:rPr>
          <w:rFonts w:eastAsia="方正仿宋_GBK" w:hint="eastAsia"/>
          <w:sz w:val="32"/>
          <w:szCs w:val="32"/>
        </w:rPr>
        <w:t>分至</w:t>
      </w:r>
      <w:r>
        <w:rPr>
          <w:rFonts w:eastAsia="方正仿宋_GBK" w:hint="eastAsia"/>
          <w:sz w:val="32"/>
          <w:szCs w:val="32"/>
        </w:rPr>
        <w:t>70</w:t>
      </w:r>
      <w:r>
        <w:rPr>
          <w:rFonts w:eastAsia="方正仿宋_GBK" w:hint="eastAsia"/>
          <w:sz w:val="32"/>
          <w:szCs w:val="32"/>
        </w:rPr>
        <w:t>分每低一分扣</w:t>
      </w:r>
      <w:r>
        <w:rPr>
          <w:rFonts w:eastAsia="方正仿宋_GBK" w:hint="eastAsia"/>
          <w:sz w:val="32"/>
          <w:szCs w:val="32"/>
        </w:rPr>
        <w:t>2</w:t>
      </w:r>
      <w:r>
        <w:rPr>
          <w:rFonts w:eastAsia="方正仿宋_GBK" w:hint="eastAsia"/>
          <w:sz w:val="32"/>
          <w:szCs w:val="32"/>
        </w:rPr>
        <w:t>万元，</w:t>
      </w:r>
      <w:r>
        <w:rPr>
          <w:rFonts w:eastAsia="方正仿宋_GBK" w:hint="eastAsia"/>
          <w:sz w:val="32"/>
          <w:szCs w:val="32"/>
        </w:rPr>
        <w:t>70</w:t>
      </w:r>
      <w:r>
        <w:rPr>
          <w:rFonts w:eastAsia="方正仿宋_GBK" w:hint="eastAsia"/>
          <w:sz w:val="32"/>
          <w:szCs w:val="32"/>
        </w:rPr>
        <w:t>分以下每低一分扣</w:t>
      </w:r>
      <w:r>
        <w:rPr>
          <w:rFonts w:eastAsia="方正仿宋_GBK" w:hint="eastAsia"/>
          <w:sz w:val="32"/>
          <w:szCs w:val="32"/>
        </w:rPr>
        <w:t>3</w:t>
      </w:r>
      <w:r>
        <w:rPr>
          <w:rFonts w:eastAsia="方正仿宋_GBK" w:hint="eastAsia"/>
          <w:sz w:val="32"/>
          <w:szCs w:val="32"/>
        </w:rPr>
        <w:t>万元。当月月度设施经费基数费用不足扣款直接转到下一月度设施经费基数扣，全部扣完仍不足转到排位奖励费用扣。排位奖励数第一名至第六名依次分别为：</w:t>
      </w:r>
      <w:r>
        <w:rPr>
          <w:rFonts w:eastAsia="方正仿宋_GBK" w:hint="eastAsia"/>
          <w:sz w:val="32"/>
          <w:szCs w:val="32"/>
        </w:rPr>
        <w:t>5</w:t>
      </w:r>
      <w:r>
        <w:rPr>
          <w:rFonts w:eastAsia="方正仿宋_GBK" w:hint="eastAsia"/>
          <w:sz w:val="32"/>
          <w:szCs w:val="32"/>
        </w:rPr>
        <w:t>万、</w:t>
      </w:r>
      <w:r>
        <w:rPr>
          <w:rFonts w:eastAsia="方正仿宋_GBK" w:hint="eastAsia"/>
          <w:sz w:val="32"/>
          <w:szCs w:val="32"/>
        </w:rPr>
        <w:t>4</w:t>
      </w:r>
      <w:r>
        <w:rPr>
          <w:rFonts w:eastAsia="方正仿宋_GBK" w:hint="eastAsia"/>
          <w:sz w:val="32"/>
          <w:szCs w:val="32"/>
        </w:rPr>
        <w:t>万、</w:t>
      </w:r>
      <w:r>
        <w:rPr>
          <w:rFonts w:eastAsia="方正仿宋_GBK" w:hint="eastAsia"/>
          <w:sz w:val="32"/>
          <w:szCs w:val="32"/>
        </w:rPr>
        <w:t>3</w:t>
      </w:r>
      <w:r>
        <w:rPr>
          <w:rFonts w:eastAsia="方正仿宋_GBK" w:hint="eastAsia"/>
          <w:sz w:val="32"/>
          <w:szCs w:val="32"/>
        </w:rPr>
        <w:t>万、</w:t>
      </w:r>
      <w:r>
        <w:rPr>
          <w:rFonts w:eastAsia="方正仿宋_GBK" w:hint="eastAsia"/>
          <w:sz w:val="32"/>
          <w:szCs w:val="32"/>
        </w:rPr>
        <w:t>2</w:t>
      </w:r>
      <w:r>
        <w:rPr>
          <w:rFonts w:eastAsia="方正仿宋_GBK" w:hint="eastAsia"/>
          <w:sz w:val="32"/>
          <w:szCs w:val="32"/>
        </w:rPr>
        <w:t>万、</w:t>
      </w:r>
      <w:r>
        <w:rPr>
          <w:rFonts w:eastAsia="方正仿宋_GBK" w:hint="eastAsia"/>
          <w:sz w:val="32"/>
          <w:szCs w:val="32"/>
        </w:rPr>
        <w:t>1</w:t>
      </w:r>
      <w:r>
        <w:rPr>
          <w:rFonts w:eastAsia="方正仿宋_GBK" w:hint="eastAsia"/>
          <w:sz w:val="32"/>
          <w:szCs w:val="32"/>
        </w:rPr>
        <w:t>万、</w:t>
      </w:r>
      <w:r>
        <w:rPr>
          <w:rFonts w:eastAsia="方正仿宋_GBK" w:hint="eastAsia"/>
          <w:sz w:val="32"/>
          <w:szCs w:val="32"/>
        </w:rPr>
        <w:t>0</w:t>
      </w:r>
      <w:r>
        <w:rPr>
          <w:rFonts w:eastAsia="方正仿宋_GBK" w:hint="eastAsia"/>
          <w:sz w:val="32"/>
          <w:szCs w:val="32"/>
        </w:rPr>
        <w:t>万。</w:t>
      </w:r>
    </w:p>
    <w:p w:rsidR="00866A94" w:rsidRDefault="00866A94" w:rsidP="00866A94">
      <w:pPr>
        <w:adjustRightInd w:val="0"/>
        <w:snapToGrid w:val="0"/>
        <w:spacing w:line="300" w:lineRule="auto"/>
        <w:jc w:val="center"/>
        <w:rPr>
          <w:rFonts w:eastAsia="方正黑体_GBK"/>
          <w:sz w:val="32"/>
          <w:szCs w:val="32"/>
        </w:rPr>
      </w:pPr>
      <w:r>
        <w:rPr>
          <w:rFonts w:eastAsia="方正黑体_GBK" w:hint="eastAsia"/>
          <w:sz w:val="32"/>
          <w:szCs w:val="32"/>
        </w:rPr>
        <w:t>表一</w:t>
      </w:r>
      <w:r>
        <w:rPr>
          <w:rFonts w:eastAsia="方正黑体_GBK" w:hint="eastAsia"/>
          <w:sz w:val="32"/>
          <w:szCs w:val="32"/>
        </w:rPr>
        <w:t xml:space="preserve">  </w:t>
      </w:r>
      <w:r>
        <w:rPr>
          <w:rFonts w:eastAsia="方正黑体_GBK" w:hint="eastAsia"/>
          <w:sz w:val="32"/>
          <w:szCs w:val="32"/>
        </w:rPr>
        <w:t>各区月度基数</w:t>
      </w:r>
    </w:p>
    <w:tbl>
      <w:tblPr>
        <w:tblStyle w:val="a5"/>
        <w:tblW w:w="894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982"/>
        <w:gridCol w:w="2982"/>
        <w:gridCol w:w="2983"/>
      </w:tblGrid>
      <w:tr w:rsidR="00866A94" w:rsidTr="00DB2B22">
        <w:tc>
          <w:tcPr>
            <w:tcW w:w="2982" w:type="dxa"/>
            <w:vAlign w:val="center"/>
          </w:tcPr>
          <w:p w:rsidR="00866A94" w:rsidRDefault="00866A94" w:rsidP="00DB2B22">
            <w:pPr>
              <w:adjustRightInd w:val="0"/>
              <w:snapToGrid w:val="0"/>
              <w:jc w:val="center"/>
              <w:rPr>
                <w:rFonts w:eastAsia="方正黑体_GBK"/>
                <w:sz w:val="24"/>
                <w:szCs w:val="24"/>
              </w:rPr>
            </w:pPr>
            <w:r>
              <w:rPr>
                <w:rFonts w:eastAsia="方正黑体_GBK" w:hint="eastAsia"/>
                <w:sz w:val="24"/>
                <w:szCs w:val="24"/>
              </w:rPr>
              <w:lastRenderedPageBreak/>
              <w:t>区属</w:t>
            </w:r>
          </w:p>
        </w:tc>
        <w:tc>
          <w:tcPr>
            <w:tcW w:w="2982" w:type="dxa"/>
            <w:vAlign w:val="center"/>
          </w:tcPr>
          <w:p w:rsidR="00866A94" w:rsidRDefault="00866A94" w:rsidP="00DB2B22">
            <w:pPr>
              <w:adjustRightInd w:val="0"/>
              <w:snapToGrid w:val="0"/>
              <w:jc w:val="center"/>
              <w:rPr>
                <w:rFonts w:eastAsia="方正黑体_GBK"/>
                <w:sz w:val="24"/>
                <w:szCs w:val="24"/>
              </w:rPr>
            </w:pPr>
            <w:r>
              <w:rPr>
                <w:rFonts w:eastAsia="方正黑体_GBK" w:hint="eastAsia"/>
                <w:sz w:val="24"/>
                <w:szCs w:val="24"/>
              </w:rPr>
              <w:t>占比</w:t>
            </w:r>
          </w:p>
        </w:tc>
        <w:tc>
          <w:tcPr>
            <w:tcW w:w="2983" w:type="dxa"/>
            <w:vAlign w:val="center"/>
          </w:tcPr>
          <w:p w:rsidR="00866A94" w:rsidRDefault="00866A94" w:rsidP="00DB2B22">
            <w:pPr>
              <w:adjustRightInd w:val="0"/>
              <w:snapToGrid w:val="0"/>
              <w:jc w:val="center"/>
              <w:rPr>
                <w:rFonts w:eastAsia="方正黑体_GBK"/>
                <w:sz w:val="24"/>
                <w:szCs w:val="24"/>
              </w:rPr>
            </w:pPr>
            <w:r>
              <w:rPr>
                <w:rFonts w:eastAsia="方正黑体_GBK" w:hint="eastAsia"/>
                <w:sz w:val="24"/>
                <w:szCs w:val="24"/>
              </w:rPr>
              <w:t>月度基数</w:t>
            </w:r>
          </w:p>
        </w:tc>
      </w:tr>
      <w:tr w:rsidR="00866A94" w:rsidTr="00DB2B22">
        <w:tc>
          <w:tcPr>
            <w:tcW w:w="2982"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玄武</w:t>
            </w:r>
          </w:p>
        </w:tc>
        <w:tc>
          <w:tcPr>
            <w:tcW w:w="2982"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0.112</w:t>
            </w:r>
          </w:p>
        </w:tc>
        <w:tc>
          <w:tcPr>
            <w:tcW w:w="2983"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8</w:t>
            </w:r>
          </w:p>
        </w:tc>
      </w:tr>
      <w:tr w:rsidR="00866A94" w:rsidTr="00DB2B22">
        <w:tc>
          <w:tcPr>
            <w:tcW w:w="2982"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秦淮</w:t>
            </w:r>
          </w:p>
        </w:tc>
        <w:tc>
          <w:tcPr>
            <w:tcW w:w="2982"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0.176</w:t>
            </w:r>
          </w:p>
        </w:tc>
        <w:tc>
          <w:tcPr>
            <w:tcW w:w="2983"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12</w:t>
            </w:r>
          </w:p>
        </w:tc>
      </w:tr>
      <w:tr w:rsidR="00866A94" w:rsidTr="00DB2B22">
        <w:tc>
          <w:tcPr>
            <w:tcW w:w="2982"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建邺</w:t>
            </w:r>
          </w:p>
        </w:tc>
        <w:tc>
          <w:tcPr>
            <w:tcW w:w="2982"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0.159</w:t>
            </w:r>
          </w:p>
        </w:tc>
        <w:tc>
          <w:tcPr>
            <w:tcW w:w="2983"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10</w:t>
            </w:r>
          </w:p>
        </w:tc>
      </w:tr>
      <w:tr w:rsidR="00866A94" w:rsidTr="00DB2B22">
        <w:tc>
          <w:tcPr>
            <w:tcW w:w="2982"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鼓楼</w:t>
            </w:r>
          </w:p>
        </w:tc>
        <w:tc>
          <w:tcPr>
            <w:tcW w:w="2982"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0.172</w:t>
            </w:r>
          </w:p>
        </w:tc>
        <w:tc>
          <w:tcPr>
            <w:tcW w:w="2983"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12</w:t>
            </w:r>
          </w:p>
        </w:tc>
      </w:tr>
      <w:tr w:rsidR="00866A94" w:rsidTr="00DB2B22">
        <w:tc>
          <w:tcPr>
            <w:tcW w:w="2982"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栖霞</w:t>
            </w:r>
          </w:p>
        </w:tc>
        <w:tc>
          <w:tcPr>
            <w:tcW w:w="2982"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0.193</w:t>
            </w:r>
          </w:p>
        </w:tc>
        <w:tc>
          <w:tcPr>
            <w:tcW w:w="2983"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13</w:t>
            </w:r>
          </w:p>
        </w:tc>
      </w:tr>
      <w:tr w:rsidR="00866A94" w:rsidTr="00DB2B22">
        <w:tc>
          <w:tcPr>
            <w:tcW w:w="2982"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雨花台</w:t>
            </w:r>
          </w:p>
        </w:tc>
        <w:tc>
          <w:tcPr>
            <w:tcW w:w="2982"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0.187</w:t>
            </w:r>
          </w:p>
        </w:tc>
        <w:tc>
          <w:tcPr>
            <w:tcW w:w="2983"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13</w:t>
            </w:r>
          </w:p>
        </w:tc>
      </w:tr>
      <w:tr w:rsidR="00866A94" w:rsidTr="00DB2B22">
        <w:tc>
          <w:tcPr>
            <w:tcW w:w="2982"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合计</w:t>
            </w:r>
          </w:p>
        </w:tc>
        <w:tc>
          <w:tcPr>
            <w:tcW w:w="2982"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1</w:t>
            </w:r>
          </w:p>
        </w:tc>
        <w:tc>
          <w:tcPr>
            <w:tcW w:w="2983" w:type="dxa"/>
            <w:vAlign w:val="center"/>
          </w:tcPr>
          <w:p w:rsidR="00866A94" w:rsidRDefault="00866A94" w:rsidP="00DB2B22">
            <w:pPr>
              <w:adjustRightInd w:val="0"/>
              <w:snapToGrid w:val="0"/>
              <w:jc w:val="center"/>
              <w:rPr>
                <w:rFonts w:eastAsia="方正书宋_GBK"/>
                <w:sz w:val="24"/>
                <w:szCs w:val="24"/>
              </w:rPr>
            </w:pPr>
            <w:r>
              <w:rPr>
                <w:rFonts w:eastAsia="方正书宋_GBK" w:hint="eastAsia"/>
                <w:sz w:val="24"/>
                <w:szCs w:val="24"/>
              </w:rPr>
              <w:t>820/12=68</w:t>
            </w:r>
          </w:p>
        </w:tc>
      </w:tr>
    </w:tbl>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城区组年度总评经费为</w:t>
      </w:r>
      <w:r>
        <w:rPr>
          <w:rFonts w:eastAsia="方正仿宋_GBK" w:hint="eastAsia"/>
          <w:sz w:val="32"/>
          <w:szCs w:val="32"/>
        </w:rPr>
        <w:t>700</w:t>
      </w:r>
      <w:r>
        <w:rPr>
          <w:rFonts w:eastAsia="方正仿宋_GBK" w:hint="eastAsia"/>
          <w:sz w:val="32"/>
          <w:szCs w:val="32"/>
        </w:rPr>
        <w:t>万加月度扣减经费数累积，按月度考核全年平均分（使用</w:t>
      </w:r>
      <w:r>
        <w:rPr>
          <w:rFonts w:eastAsia="方正仿宋_GBK" w:hint="eastAsia"/>
          <w:sz w:val="32"/>
          <w:szCs w:val="32"/>
        </w:rPr>
        <w:t>200</w:t>
      </w:r>
      <w:r>
        <w:rPr>
          <w:rFonts w:eastAsia="方正仿宋_GBK" w:hint="eastAsia"/>
          <w:sz w:val="32"/>
          <w:szCs w:val="32"/>
        </w:rPr>
        <w:t>万加月度扣减数累积）、专项活动成绩（使用</w:t>
      </w:r>
      <w:r>
        <w:rPr>
          <w:rFonts w:eastAsia="方正仿宋_GBK" w:hint="eastAsia"/>
          <w:sz w:val="32"/>
          <w:szCs w:val="32"/>
        </w:rPr>
        <w:t>400</w:t>
      </w:r>
      <w:r>
        <w:rPr>
          <w:rFonts w:eastAsia="方正仿宋_GBK" w:hint="eastAsia"/>
          <w:sz w:val="32"/>
          <w:szCs w:val="32"/>
        </w:rPr>
        <w:t>万）和财政部门对各区维护经费考核成绩（使用</w:t>
      </w:r>
      <w:r>
        <w:rPr>
          <w:rFonts w:eastAsia="方正仿宋_GBK" w:hint="eastAsia"/>
          <w:sz w:val="32"/>
          <w:szCs w:val="32"/>
        </w:rPr>
        <w:t>100</w:t>
      </w:r>
      <w:r>
        <w:rPr>
          <w:rFonts w:eastAsia="方正仿宋_GBK" w:hint="eastAsia"/>
          <w:sz w:val="32"/>
          <w:szCs w:val="32"/>
        </w:rPr>
        <w:t>万）三项内容，分别进行排名和奖励。其中月度考核全年均分和财政部门对各区维护经费考核成绩两项奖励分配按表二进行，专项活动成绩奖励分配比例按专项活动方案执行（若当年无专项活动，则经费并入月度考核均分使用）。</w:t>
      </w:r>
    </w:p>
    <w:p w:rsidR="00866A94" w:rsidRDefault="00866A94" w:rsidP="00866A94">
      <w:pPr>
        <w:adjustRightInd w:val="0"/>
        <w:snapToGrid w:val="0"/>
        <w:spacing w:line="300" w:lineRule="auto"/>
        <w:jc w:val="center"/>
        <w:rPr>
          <w:rFonts w:eastAsia="方正黑体_GBK"/>
          <w:sz w:val="32"/>
          <w:szCs w:val="32"/>
        </w:rPr>
      </w:pPr>
      <w:r>
        <w:rPr>
          <w:rFonts w:eastAsia="方正黑体_GBK" w:hint="eastAsia"/>
          <w:sz w:val="32"/>
          <w:szCs w:val="32"/>
        </w:rPr>
        <w:t>表二</w:t>
      </w:r>
      <w:r>
        <w:rPr>
          <w:rFonts w:eastAsia="方正黑体_GBK" w:hint="eastAsia"/>
          <w:sz w:val="32"/>
          <w:szCs w:val="32"/>
        </w:rPr>
        <w:t xml:space="preserve">  </w:t>
      </w:r>
      <w:r>
        <w:rPr>
          <w:rFonts w:eastAsia="方正黑体_GBK" w:hint="eastAsia"/>
          <w:sz w:val="32"/>
          <w:szCs w:val="32"/>
        </w:rPr>
        <w:t>城区组年度均分及财政考核成绩分配表</w:t>
      </w:r>
    </w:p>
    <w:tbl>
      <w:tblPr>
        <w:tblStyle w:val="a5"/>
        <w:tblW w:w="894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473"/>
        <w:gridCol w:w="4474"/>
      </w:tblGrid>
      <w:tr w:rsidR="00866A94" w:rsidTr="00DB2B22">
        <w:trPr>
          <w:tblHeader/>
        </w:trPr>
        <w:tc>
          <w:tcPr>
            <w:tcW w:w="4473" w:type="dxa"/>
          </w:tcPr>
          <w:p w:rsidR="00866A94" w:rsidRDefault="00866A94" w:rsidP="00DB2B22">
            <w:pPr>
              <w:adjustRightInd w:val="0"/>
              <w:snapToGrid w:val="0"/>
              <w:jc w:val="center"/>
              <w:rPr>
                <w:rFonts w:eastAsia="方正黑体_GBK"/>
                <w:sz w:val="24"/>
                <w:szCs w:val="24"/>
              </w:rPr>
            </w:pPr>
            <w:r>
              <w:rPr>
                <w:rFonts w:eastAsia="方正黑体_GBK" w:hint="eastAsia"/>
                <w:sz w:val="24"/>
                <w:szCs w:val="24"/>
              </w:rPr>
              <w:t>名次</w:t>
            </w:r>
          </w:p>
        </w:tc>
        <w:tc>
          <w:tcPr>
            <w:tcW w:w="4474" w:type="dxa"/>
          </w:tcPr>
          <w:p w:rsidR="00866A94" w:rsidRDefault="00866A94" w:rsidP="00DB2B22">
            <w:pPr>
              <w:adjustRightInd w:val="0"/>
              <w:snapToGrid w:val="0"/>
              <w:jc w:val="center"/>
              <w:rPr>
                <w:rFonts w:eastAsia="方正黑体_GBK"/>
                <w:sz w:val="24"/>
                <w:szCs w:val="24"/>
              </w:rPr>
            </w:pPr>
            <w:r>
              <w:rPr>
                <w:rFonts w:eastAsia="方正黑体_GBK" w:hint="eastAsia"/>
                <w:sz w:val="24"/>
                <w:szCs w:val="24"/>
              </w:rPr>
              <w:t>分配比例</w:t>
            </w:r>
          </w:p>
        </w:tc>
      </w:tr>
      <w:tr w:rsidR="00866A94" w:rsidTr="00DB2B22">
        <w:tc>
          <w:tcPr>
            <w:tcW w:w="4473" w:type="dxa"/>
          </w:tcPr>
          <w:p w:rsidR="00866A94" w:rsidRDefault="00866A94" w:rsidP="00DB2B22">
            <w:pPr>
              <w:adjustRightInd w:val="0"/>
              <w:snapToGrid w:val="0"/>
              <w:jc w:val="center"/>
              <w:rPr>
                <w:rFonts w:eastAsia="方正书宋_GBK"/>
                <w:sz w:val="24"/>
                <w:szCs w:val="24"/>
              </w:rPr>
            </w:pPr>
            <w:r>
              <w:rPr>
                <w:rFonts w:eastAsia="方正书宋_GBK"/>
                <w:sz w:val="24"/>
                <w:szCs w:val="24"/>
              </w:rPr>
              <w:t>1</w:t>
            </w:r>
          </w:p>
        </w:tc>
        <w:tc>
          <w:tcPr>
            <w:tcW w:w="4474" w:type="dxa"/>
          </w:tcPr>
          <w:p w:rsidR="00866A94" w:rsidRDefault="00866A94" w:rsidP="00DB2B22">
            <w:pPr>
              <w:adjustRightInd w:val="0"/>
              <w:snapToGrid w:val="0"/>
              <w:jc w:val="center"/>
              <w:rPr>
                <w:rFonts w:eastAsia="方正书宋_GBK"/>
                <w:sz w:val="24"/>
                <w:szCs w:val="24"/>
              </w:rPr>
            </w:pPr>
            <w:r>
              <w:rPr>
                <w:rFonts w:eastAsia="方正书宋_GBK"/>
                <w:sz w:val="24"/>
                <w:szCs w:val="24"/>
              </w:rPr>
              <w:t>24%</w:t>
            </w:r>
          </w:p>
        </w:tc>
      </w:tr>
      <w:tr w:rsidR="00866A94" w:rsidTr="00DB2B22">
        <w:tc>
          <w:tcPr>
            <w:tcW w:w="4473" w:type="dxa"/>
          </w:tcPr>
          <w:p w:rsidR="00866A94" w:rsidRDefault="00866A94" w:rsidP="00DB2B22">
            <w:pPr>
              <w:adjustRightInd w:val="0"/>
              <w:snapToGrid w:val="0"/>
              <w:jc w:val="center"/>
              <w:rPr>
                <w:rFonts w:eastAsia="方正书宋_GBK"/>
                <w:sz w:val="24"/>
                <w:szCs w:val="24"/>
              </w:rPr>
            </w:pPr>
            <w:r>
              <w:rPr>
                <w:rFonts w:eastAsia="方正书宋_GBK"/>
                <w:sz w:val="24"/>
                <w:szCs w:val="24"/>
              </w:rPr>
              <w:t>2</w:t>
            </w:r>
          </w:p>
        </w:tc>
        <w:tc>
          <w:tcPr>
            <w:tcW w:w="4474" w:type="dxa"/>
          </w:tcPr>
          <w:p w:rsidR="00866A94" w:rsidRDefault="00866A94" w:rsidP="00DB2B22">
            <w:pPr>
              <w:adjustRightInd w:val="0"/>
              <w:snapToGrid w:val="0"/>
              <w:jc w:val="center"/>
              <w:rPr>
                <w:rFonts w:eastAsia="方正书宋_GBK"/>
                <w:sz w:val="24"/>
                <w:szCs w:val="24"/>
              </w:rPr>
            </w:pPr>
            <w:r>
              <w:rPr>
                <w:rFonts w:eastAsia="方正书宋_GBK"/>
                <w:sz w:val="24"/>
                <w:szCs w:val="24"/>
              </w:rPr>
              <w:t>21%</w:t>
            </w:r>
          </w:p>
        </w:tc>
      </w:tr>
      <w:tr w:rsidR="00866A94" w:rsidTr="00DB2B22">
        <w:tc>
          <w:tcPr>
            <w:tcW w:w="4473" w:type="dxa"/>
          </w:tcPr>
          <w:p w:rsidR="00866A94" w:rsidRDefault="00866A94" w:rsidP="00DB2B22">
            <w:pPr>
              <w:adjustRightInd w:val="0"/>
              <w:snapToGrid w:val="0"/>
              <w:jc w:val="center"/>
              <w:rPr>
                <w:rFonts w:eastAsia="方正书宋_GBK"/>
                <w:sz w:val="24"/>
                <w:szCs w:val="24"/>
              </w:rPr>
            </w:pPr>
            <w:r>
              <w:rPr>
                <w:rFonts w:eastAsia="方正书宋_GBK"/>
                <w:sz w:val="24"/>
                <w:szCs w:val="24"/>
              </w:rPr>
              <w:t>3</w:t>
            </w:r>
          </w:p>
        </w:tc>
        <w:tc>
          <w:tcPr>
            <w:tcW w:w="4474" w:type="dxa"/>
          </w:tcPr>
          <w:p w:rsidR="00866A94" w:rsidRDefault="00866A94" w:rsidP="00DB2B22">
            <w:pPr>
              <w:adjustRightInd w:val="0"/>
              <w:snapToGrid w:val="0"/>
              <w:jc w:val="center"/>
              <w:rPr>
                <w:rFonts w:eastAsia="方正书宋_GBK"/>
                <w:sz w:val="24"/>
                <w:szCs w:val="24"/>
              </w:rPr>
            </w:pPr>
            <w:r>
              <w:rPr>
                <w:rFonts w:eastAsia="方正书宋_GBK"/>
                <w:sz w:val="24"/>
                <w:szCs w:val="24"/>
              </w:rPr>
              <w:t>18%</w:t>
            </w:r>
          </w:p>
        </w:tc>
      </w:tr>
      <w:tr w:rsidR="00866A94" w:rsidTr="00DB2B22">
        <w:tc>
          <w:tcPr>
            <w:tcW w:w="4473" w:type="dxa"/>
          </w:tcPr>
          <w:p w:rsidR="00866A94" w:rsidRDefault="00866A94" w:rsidP="00DB2B22">
            <w:pPr>
              <w:adjustRightInd w:val="0"/>
              <w:snapToGrid w:val="0"/>
              <w:jc w:val="center"/>
              <w:rPr>
                <w:rFonts w:eastAsia="方正书宋_GBK"/>
                <w:sz w:val="24"/>
                <w:szCs w:val="24"/>
              </w:rPr>
            </w:pPr>
            <w:r>
              <w:rPr>
                <w:rFonts w:eastAsia="方正书宋_GBK"/>
                <w:sz w:val="24"/>
                <w:szCs w:val="24"/>
              </w:rPr>
              <w:t>4</w:t>
            </w:r>
          </w:p>
        </w:tc>
        <w:tc>
          <w:tcPr>
            <w:tcW w:w="4474" w:type="dxa"/>
          </w:tcPr>
          <w:p w:rsidR="00866A94" w:rsidRDefault="00866A94" w:rsidP="00DB2B22">
            <w:pPr>
              <w:adjustRightInd w:val="0"/>
              <w:snapToGrid w:val="0"/>
              <w:jc w:val="center"/>
              <w:rPr>
                <w:rFonts w:eastAsia="方正书宋_GBK"/>
                <w:sz w:val="24"/>
                <w:szCs w:val="24"/>
              </w:rPr>
            </w:pPr>
            <w:r>
              <w:rPr>
                <w:rFonts w:eastAsia="方正书宋_GBK"/>
                <w:sz w:val="24"/>
                <w:szCs w:val="24"/>
              </w:rPr>
              <w:t>15%</w:t>
            </w:r>
          </w:p>
        </w:tc>
      </w:tr>
      <w:tr w:rsidR="00866A94" w:rsidTr="00DB2B22">
        <w:tc>
          <w:tcPr>
            <w:tcW w:w="4473" w:type="dxa"/>
          </w:tcPr>
          <w:p w:rsidR="00866A94" w:rsidRDefault="00866A94" w:rsidP="00DB2B22">
            <w:pPr>
              <w:adjustRightInd w:val="0"/>
              <w:snapToGrid w:val="0"/>
              <w:jc w:val="center"/>
              <w:rPr>
                <w:rFonts w:eastAsia="方正书宋_GBK"/>
                <w:sz w:val="24"/>
                <w:szCs w:val="24"/>
              </w:rPr>
            </w:pPr>
            <w:r>
              <w:rPr>
                <w:rFonts w:eastAsia="方正书宋_GBK"/>
                <w:sz w:val="24"/>
                <w:szCs w:val="24"/>
              </w:rPr>
              <w:t>5</w:t>
            </w:r>
          </w:p>
        </w:tc>
        <w:tc>
          <w:tcPr>
            <w:tcW w:w="4474" w:type="dxa"/>
          </w:tcPr>
          <w:p w:rsidR="00866A94" w:rsidRDefault="00866A94" w:rsidP="00DB2B22">
            <w:pPr>
              <w:adjustRightInd w:val="0"/>
              <w:snapToGrid w:val="0"/>
              <w:jc w:val="center"/>
              <w:rPr>
                <w:rFonts w:eastAsia="方正书宋_GBK"/>
                <w:sz w:val="24"/>
                <w:szCs w:val="24"/>
              </w:rPr>
            </w:pPr>
            <w:r>
              <w:rPr>
                <w:rFonts w:eastAsia="方正书宋_GBK"/>
                <w:sz w:val="24"/>
                <w:szCs w:val="24"/>
              </w:rPr>
              <w:t>12%</w:t>
            </w:r>
          </w:p>
        </w:tc>
      </w:tr>
      <w:tr w:rsidR="00866A94" w:rsidTr="00DB2B22">
        <w:tc>
          <w:tcPr>
            <w:tcW w:w="4473" w:type="dxa"/>
          </w:tcPr>
          <w:p w:rsidR="00866A94" w:rsidRDefault="00866A94" w:rsidP="00DB2B22">
            <w:pPr>
              <w:adjustRightInd w:val="0"/>
              <w:snapToGrid w:val="0"/>
              <w:jc w:val="center"/>
              <w:rPr>
                <w:rFonts w:eastAsia="方正书宋_GBK"/>
                <w:sz w:val="24"/>
                <w:szCs w:val="24"/>
              </w:rPr>
            </w:pPr>
            <w:r>
              <w:rPr>
                <w:rFonts w:eastAsia="方正书宋_GBK"/>
                <w:sz w:val="24"/>
                <w:szCs w:val="24"/>
              </w:rPr>
              <w:t>6</w:t>
            </w:r>
          </w:p>
        </w:tc>
        <w:tc>
          <w:tcPr>
            <w:tcW w:w="4474" w:type="dxa"/>
          </w:tcPr>
          <w:p w:rsidR="00866A94" w:rsidRDefault="00866A94" w:rsidP="00DB2B22">
            <w:pPr>
              <w:adjustRightInd w:val="0"/>
              <w:snapToGrid w:val="0"/>
              <w:jc w:val="center"/>
              <w:rPr>
                <w:rFonts w:eastAsia="方正书宋_GBK"/>
                <w:sz w:val="24"/>
                <w:szCs w:val="24"/>
              </w:rPr>
            </w:pPr>
            <w:r>
              <w:rPr>
                <w:rFonts w:eastAsia="方正书宋_GBK"/>
                <w:sz w:val="24"/>
                <w:szCs w:val="24"/>
              </w:rPr>
              <w:t>10%</w:t>
            </w:r>
          </w:p>
        </w:tc>
      </w:tr>
    </w:tbl>
    <w:p w:rsidR="00866A94" w:rsidRDefault="00866A94" w:rsidP="00866A94">
      <w:pPr>
        <w:adjustRightInd w:val="0"/>
        <w:snapToGrid w:val="0"/>
        <w:rPr>
          <w:rFonts w:eastAsia="方正书宋_GBK"/>
          <w:sz w:val="24"/>
          <w:szCs w:val="24"/>
        </w:rPr>
      </w:pPr>
      <w:r>
        <w:rPr>
          <w:rFonts w:eastAsia="方正书宋_GBK" w:hint="eastAsia"/>
          <w:sz w:val="24"/>
          <w:szCs w:val="24"/>
        </w:rPr>
        <w:t>注：若出现分数相同的情况，则由排名并列的区均分所占序号对应的经费。</w:t>
      </w:r>
    </w:p>
    <w:p w:rsidR="00866A94" w:rsidRDefault="00866A94" w:rsidP="00866A94">
      <w:pPr>
        <w:adjustRightInd w:val="0"/>
        <w:snapToGrid w:val="0"/>
        <w:rPr>
          <w:rFonts w:eastAsia="方正书宋_GBK"/>
          <w:sz w:val="24"/>
          <w:szCs w:val="24"/>
        </w:rPr>
      </w:pP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第十五条【郊园区组考核经费分配】郊园区组月度考核经</w:t>
      </w:r>
      <w:r>
        <w:rPr>
          <w:rFonts w:eastAsia="方正仿宋_GBK" w:hint="eastAsia"/>
          <w:sz w:val="32"/>
          <w:szCs w:val="32"/>
        </w:rPr>
        <w:lastRenderedPageBreak/>
        <w:t>费总数为</w:t>
      </w:r>
      <w:r>
        <w:rPr>
          <w:rFonts w:eastAsia="方正仿宋_GBK" w:hint="eastAsia"/>
          <w:sz w:val="32"/>
          <w:szCs w:val="32"/>
        </w:rPr>
        <w:t>120</w:t>
      </w:r>
      <w:r>
        <w:rPr>
          <w:rFonts w:eastAsia="方正仿宋_GBK" w:hint="eastAsia"/>
          <w:sz w:val="32"/>
          <w:szCs w:val="32"/>
        </w:rPr>
        <w:t>万，按得分排名进行分配，比例详见表三。</w:t>
      </w:r>
    </w:p>
    <w:p w:rsidR="00866A94" w:rsidRDefault="00866A94" w:rsidP="00866A94">
      <w:pPr>
        <w:adjustRightInd w:val="0"/>
        <w:snapToGrid w:val="0"/>
        <w:spacing w:line="300" w:lineRule="auto"/>
        <w:jc w:val="center"/>
        <w:rPr>
          <w:rFonts w:eastAsia="方正黑体_GBK"/>
          <w:sz w:val="32"/>
          <w:szCs w:val="32"/>
        </w:rPr>
      </w:pPr>
      <w:r>
        <w:rPr>
          <w:rFonts w:eastAsia="方正黑体_GBK" w:hint="eastAsia"/>
          <w:sz w:val="32"/>
          <w:szCs w:val="32"/>
        </w:rPr>
        <w:t>表三</w:t>
      </w:r>
      <w:r>
        <w:rPr>
          <w:rFonts w:eastAsia="方正黑体_GBK" w:hint="eastAsia"/>
          <w:sz w:val="32"/>
          <w:szCs w:val="32"/>
        </w:rPr>
        <w:t xml:space="preserve">  </w:t>
      </w:r>
      <w:r>
        <w:rPr>
          <w:rFonts w:eastAsia="方正黑体_GBK" w:hint="eastAsia"/>
          <w:sz w:val="32"/>
          <w:szCs w:val="32"/>
        </w:rPr>
        <w:t>郊园区组月度及年度考核经费分配表</w:t>
      </w:r>
    </w:p>
    <w:tbl>
      <w:tblPr>
        <w:tblStyle w:val="a5"/>
        <w:tblW w:w="894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473"/>
        <w:gridCol w:w="4474"/>
      </w:tblGrid>
      <w:tr w:rsidR="00866A94" w:rsidTr="00DB2B22">
        <w:trPr>
          <w:tblHeader/>
        </w:trPr>
        <w:tc>
          <w:tcPr>
            <w:tcW w:w="4473" w:type="dxa"/>
          </w:tcPr>
          <w:p w:rsidR="00866A94" w:rsidRDefault="00866A94" w:rsidP="00DB2B22">
            <w:pPr>
              <w:adjustRightInd w:val="0"/>
              <w:snapToGrid w:val="0"/>
              <w:jc w:val="center"/>
              <w:rPr>
                <w:rFonts w:eastAsia="方正黑体_GBK"/>
                <w:sz w:val="24"/>
                <w:szCs w:val="24"/>
              </w:rPr>
            </w:pPr>
            <w:r>
              <w:rPr>
                <w:rFonts w:eastAsia="方正黑体_GBK" w:hint="eastAsia"/>
                <w:sz w:val="24"/>
                <w:szCs w:val="24"/>
              </w:rPr>
              <w:t>名次</w:t>
            </w:r>
          </w:p>
        </w:tc>
        <w:tc>
          <w:tcPr>
            <w:tcW w:w="4474" w:type="dxa"/>
          </w:tcPr>
          <w:p w:rsidR="00866A94" w:rsidRDefault="00866A94" w:rsidP="00DB2B22">
            <w:pPr>
              <w:adjustRightInd w:val="0"/>
              <w:snapToGrid w:val="0"/>
              <w:jc w:val="center"/>
              <w:rPr>
                <w:rFonts w:eastAsia="方正黑体_GBK"/>
                <w:sz w:val="24"/>
                <w:szCs w:val="24"/>
              </w:rPr>
            </w:pPr>
            <w:r>
              <w:rPr>
                <w:rFonts w:eastAsia="方正黑体_GBK" w:hint="eastAsia"/>
                <w:sz w:val="24"/>
                <w:szCs w:val="24"/>
              </w:rPr>
              <w:t>分配比例</w:t>
            </w:r>
          </w:p>
        </w:tc>
      </w:tr>
      <w:tr w:rsidR="00866A94" w:rsidTr="00DB2B22">
        <w:tc>
          <w:tcPr>
            <w:tcW w:w="4473" w:type="dxa"/>
          </w:tcPr>
          <w:p w:rsidR="00866A94" w:rsidRDefault="00866A94" w:rsidP="00DB2B22">
            <w:pPr>
              <w:adjustRightInd w:val="0"/>
              <w:snapToGrid w:val="0"/>
              <w:jc w:val="center"/>
              <w:rPr>
                <w:rFonts w:eastAsia="方正书宋_GBK"/>
                <w:sz w:val="24"/>
                <w:szCs w:val="24"/>
              </w:rPr>
            </w:pPr>
            <w:r>
              <w:rPr>
                <w:rFonts w:eastAsia="方正书宋_GBK"/>
                <w:sz w:val="24"/>
                <w:szCs w:val="24"/>
              </w:rPr>
              <w:t>1</w:t>
            </w:r>
          </w:p>
        </w:tc>
        <w:tc>
          <w:tcPr>
            <w:tcW w:w="4474" w:type="dxa"/>
          </w:tcPr>
          <w:p w:rsidR="00866A94" w:rsidRDefault="00866A94" w:rsidP="00DB2B22">
            <w:pPr>
              <w:adjustRightInd w:val="0"/>
              <w:snapToGrid w:val="0"/>
              <w:jc w:val="center"/>
              <w:rPr>
                <w:rFonts w:eastAsia="方正书宋_GBK"/>
                <w:sz w:val="24"/>
                <w:szCs w:val="24"/>
              </w:rPr>
            </w:pPr>
            <w:r>
              <w:rPr>
                <w:rFonts w:eastAsia="方正书宋_GBK"/>
                <w:sz w:val="24"/>
                <w:szCs w:val="24"/>
              </w:rPr>
              <w:t>20%</w:t>
            </w:r>
          </w:p>
        </w:tc>
      </w:tr>
      <w:tr w:rsidR="00866A94" w:rsidTr="00DB2B22">
        <w:tc>
          <w:tcPr>
            <w:tcW w:w="4473" w:type="dxa"/>
          </w:tcPr>
          <w:p w:rsidR="00866A94" w:rsidRDefault="00866A94" w:rsidP="00DB2B22">
            <w:pPr>
              <w:adjustRightInd w:val="0"/>
              <w:snapToGrid w:val="0"/>
              <w:jc w:val="center"/>
              <w:rPr>
                <w:rFonts w:eastAsia="方正书宋_GBK"/>
                <w:sz w:val="24"/>
                <w:szCs w:val="24"/>
              </w:rPr>
            </w:pPr>
            <w:r>
              <w:rPr>
                <w:rFonts w:eastAsia="方正书宋_GBK"/>
                <w:sz w:val="24"/>
                <w:szCs w:val="24"/>
              </w:rPr>
              <w:t>2</w:t>
            </w:r>
          </w:p>
        </w:tc>
        <w:tc>
          <w:tcPr>
            <w:tcW w:w="4474" w:type="dxa"/>
          </w:tcPr>
          <w:p w:rsidR="00866A94" w:rsidRDefault="00866A94" w:rsidP="00DB2B22">
            <w:pPr>
              <w:adjustRightInd w:val="0"/>
              <w:snapToGrid w:val="0"/>
              <w:jc w:val="center"/>
              <w:rPr>
                <w:rFonts w:eastAsia="方正书宋_GBK"/>
                <w:sz w:val="24"/>
                <w:szCs w:val="24"/>
              </w:rPr>
            </w:pPr>
            <w:r>
              <w:rPr>
                <w:rFonts w:eastAsia="方正书宋_GBK"/>
                <w:sz w:val="24"/>
                <w:szCs w:val="24"/>
              </w:rPr>
              <w:t>18%</w:t>
            </w:r>
          </w:p>
        </w:tc>
      </w:tr>
      <w:tr w:rsidR="00866A94" w:rsidTr="00DB2B22">
        <w:tc>
          <w:tcPr>
            <w:tcW w:w="4473" w:type="dxa"/>
          </w:tcPr>
          <w:p w:rsidR="00866A94" w:rsidRDefault="00866A94" w:rsidP="00DB2B22">
            <w:pPr>
              <w:adjustRightInd w:val="0"/>
              <w:snapToGrid w:val="0"/>
              <w:jc w:val="center"/>
              <w:rPr>
                <w:rFonts w:eastAsia="方正书宋_GBK"/>
                <w:sz w:val="24"/>
                <w:szCs w:val="24"/>
              </w:rPr>
            </w:pPr>
            <w:r>
              <w:rPr>
                <w:rFonts w:eastAsia="方正书宋_GBK"/>
                <w:sz w:val="24"/>
                <w:szCs w:val="24"/>
              </w:rPr>
              <w:t>3</w:t>
            </w:r>
          </w:p>
        </w:tc>
        <w:tc>
          <w:tcPr>
            <w:tcW w:w="4474" w:type="dxa"/>
          </w:tcPr>
          <w:p w:rsidR="00866A94" w:rsidRDefault="00866A94" w:rsidP="00DB2B22">
            <w:pPr>
              <w:adjustRightInd w:val="0"/>
              <w:snapToGrid w:val="0"/>
              <w:jc w:val="center"/>
              <w:rPr>
                <w:rFonts w:eastAsia="方正书宋_GBK"/>
                <w:sz w:val="24"/>
                <w:szCs w:val="24"/>
              </w:rPr>
            </w:pPr>
            <w:r>
              <w:rPr>
                <w:rFonts w:eastAsia="方正书宋_GBK"/>
                <w:sz w:val="24"/>
                <w:szCs w:val="24"/>
              </w:rPr>
              <w:t>16%</w:t>
            </w:r>
          </w:p>
        </w:tc>
      </w:tr>
      <w:tr w:rsidR="00866A94" w:rsidTr="00DB2B22">
        <w:tc>
          <w:tcPr>
            <w:tcW w:w="4473" w:type="dxa"/>
          </w:tcPr>
          <w:p w:rsidR="00866A94" w:rsidRDefault="00866A94" w:rsidP="00DB2B22">
            <w:pPr>
              <w:adjustRightInd w:val="0"/>
              <w:snapToGrid w:val="0"/>
              <w:jc w:val="center"/>
              <w:rPr>
                <w:rFonts w:eastAsia="方正书宋_GBK"/>
                <w:sz w:val="24"/>
                <w:szCs w:val="24"/>
              </w:rPr>
            </w:pPr>
            <w:r>
              <w:rPr>
                <w:rFonts w:eastAsia="方正书宋_GBK"/>
                <w:sz w:val="24"/>
                <w:szCs w:val="24"/>
              </w:rPr>
              <w:t>4</w:t>
            </w:r>
          </w:p>
        </w:tc>
        <w:tc>
          <w:tcPr>
            <w:tcW w:w="4474" w:type="dxa"/>
          </w:tcPr>
          <w:p w:rsidR="00866A94" w:rsidRDefault="00866A94" w:rsidP="00DB2B22">
            <w:pPr>
              <w:adjustRightInd w:val="0"/>
              <w:snapToGrid w:val="0"/>
              <w:jc w:val="center"/>
              <w:rPr>
                <w:rFonts w:eastAsia="方正书宋_GBK"/>
                <w:sz w:val="24"/>
                <w:szCs w:val="24"/>
              </w:rPr>
            </w:pPr>
            <w:r>
              <w:rPr>
                <w:rFonts w:eastAsia="方正书宋_GBK"/>
                <w:sz w:val="24"/>
                <w:szCs w:val="24"/>
              </w:rPr>
              <w:t>14%</w:t>
            </w:r>
          </w:p>
        </w:tc>
      </w:tr>
      <w:tr w:rsidR="00866A94" w:rsidTr="00DB2B22">
        <w:tc>
          <w:tcPr>
            <w:tcW w:w="4473" w:type="dxa"/>
          </w:tcPr>
          <w:p w:rsidR="00866A94" w:rsidRDefault="00866A94" w:rsidP="00DB2B22">
            <w:pPr>
              <w:adjustRightInd w:val="0"/>
              <w:snapToGrid w:val="0"/>
              <w:jc w:val="center"/>
              <w:rPr>
                <w:rFonts w:eastAsia="方正书宋_GBK"/>
                <w:sz w:val="24"/>
                <w:szCs w:val="24"/>
              </w:rPr>
            </w:pPr>
            <w:r>
              <w:rPr>
                <w:rFonts w:eastAsia="方正书宋_GBK"/>
                <w:sz w:val="24"/>
                <w:szCs w:val="24"/>
              </w:rPr>
              <w:t>5</w:t>
            </w:r>
          </w:p>
        </w:tc>
        <w:tc>
          <w:tcPr>
            <w:tcW w:w="4474" w:type="dxa"/>
          </w:tcPr>
          <w:p w:rsidR="00866A94" w:rsidRDefault="00866A94" w:rsidP="00DB2B22">
            <w:pPr>
              <w:adjustRightInd w:val="0"/>
              <w:snapToGrid w:val="0"/>
              <w:jc w:val="center"/>
              <w:rPr>
                <w:rFonts w:eastAsia="方正书宋_GBK"/>
                <w:sz w:val="24"/>
                <w:szCs w:val="24"/>
              </w:rPr>
            </w:pPr>
            <w:r>
              <w:rPr>
                <w:rFonts w:eastAsia="方正书宋_GBK"/>
                <w:sz w:val="24"/>
                <w:szCs w:val="24"/>
              </w:rPr>
              <w:t>11%</w:t>
            </w:r>
          </w:p>
        </w:tc>
      </w:tr>
      <w:tr w:rsidR="00866A94" w:rsidTr="00DB2B22">
        <w:tc>
          <w:tcPr>
            <w:tcW w:w="4473" w:type="dxa"/>
          </w:tcPr>
          <w:p w:rsidR="00866A94" w:rsidRDefault="00866A94" w:rsidP="00DB2B22">
            <w:pPr>
              <w:adjustRightInd w:val="0"/>
              <w:snapToGrid w:val="0"/>
              <w:jc w:val="center"/>
              <w:rPr>
                <w:rFonts w:eastAsia="方正书宋_GBK"/>
                <w:sz w:val="24"/>
                <w:szCs w:val="24"/>
              </w:rPr>
            </w:pPr>
            <w:r>
              <w:rPr>
                <w:rFonts w:eastAsia="方正书宋_GBK"/>
                <w:sz w:val="24"/>
                <w:szCs w:val="24"/>
              </w:rPr>
              <w:t>6</w:t>
            </w:r>
          </w:p>
        </w:tc>
        <w:tc>
          <w:tcPr>
            <w:tcW w:w="4474" w:type="dxa"/>
          </w:tcPr>
          <w:p w:rsidR="00866A94" w:rsidRDefault="00866A94" w:rsidP="00DB2B22">
            <w:pPr>
              <w:adjustRightInd w:val="0"/>
              <w:snapToGrid w:val="0"/>
              <w:jc w:val="center"/>
              <w:rPr>
                <w:rFonts w:eastAsia="方正书宋_GBK"/>
                <w:sz w:val="24"/>
                <w:szCs w:val="24"/>
              </w:rPr>
            </w:pPr>
            <w:r>
              <w:rPr>
                <w:rFonts w:eastAsia="方正书宋_GBK"/>
                <w:sz w:val="24"/>
                <w:szCs w:val="24"/>
              </w:rPr>
              <w:t>9%</w:t>
            </w:r>
          </w:p>
        </w:tc>
      </w:tr>
      <w:tr w:rsidR="00866A94" w:rsidTr="00DB2B22">
        <w:tc>
          <w:tcPr>
            <w:tcW w:w="4473" w:type="dxa"/>
          </w:tcPr>
          <w:p w:rsidR="00866A94" w:rsidRDefault="00866A94" w:rsidP="00DB2B22">
            <w:pPr>
              <w:adjustRightInd w:val="0"/>
              <w:snapToGrid w:val="0"/>
              <w:jc w:val="center"/>
              <w:rPr>
                <w:rFonts w:eastAsia="方正书宋_GBK"/>
                <w:sz w:val="24"/>
                <w:szCs w:val="24"/>
              </w:rPr>
            </w:pPr>
            <w:r>
              <w:rPr>
                <w:rFonts w:eastAsia="方正书宋_GBK"/>
                <w:sz w:val="24"/>
                <w:szCs w:val="24"/>
              </w:rPr>
              <w:t>7</w:t>
            </w:r>
          </w:p>
        </w:tc>
        <w:tc>
          <w:tcPr>
            <w:tcW w:w="4474" w:type="dxa"/>
          </w:tcPr>
          <w:p w:rsidR="00866A94" w:rsidRDefault="00866A94" w:rsidP="00DB2B22">
            <w:pPr>
              <w:adjustRightInd w:val="0"/>
              <w:snapToGrid w:val="0"/>
              <w:jc w:val="center"/>
              <w:rPr>
                <w:rFonts w:eastAsia="方正书宋_GBK"/>
                <w:sz w:val="24"/>
                <w:szCs w:val="24"/>
              </w:rPr>
            </w:pPr>
            <w:r>
              <w:rPr>
                <w:rFonts w:eastAsia="方正书宋_GBK"/>
                <w:sz w:val="24"/>
                <w:szCs w:val="24"/>
              </w:rPr>
              <w:t>7%</w:t>
            </w:r>
          </w:p>
        </w:tc>
      </w:tr>
      <w:tr w:rsidR="00866A94" w:rsidTr="00DB2B22">
        <w:tc>
          <w:tcPr>
            <w:tcW w:w="4473" w:type="dxa"/>
          </w:tcPr>
          <w:p w:rsidR="00866A94" w:rsidRDefault="00866A94" w:rsidP="00DB2B22">
            <w:pPr>
              <w:adjustRightInd w:val="0"/>
              <w:snapToGrid w:val="0"/>
              <w:jc w:val="center"/>
              <w:rPr>
                <w:rFonts w:eastAsia="方正书宋_GBK"/>
                <w:sz w:val="24"/>
                <w:szCs w:val="24"/>
              </w:rPr>
            </w:pPr>
            <w:r>
              <w:rPr>
                <w:rFonts w:eastAsia="方正书宋_GBK"/>
                <w:sz w:val="24"/>
                <w:szCs w:val="24"/>
              </w:rPr>
              <w:t>8</w:t>
            </w:r>
          </w:p>
        </w:tc>
        <w:tc>
          <w:tcPr>
            <w:tcW w:w="4474" w:type="dxa"/>
          </w:tcPr>
          <w:p w:rsidR="00866A94" w:rsidRDefault="00866A94" w:rsidP="00DB2B22">
            <w:pPr>
              <w:adjustRightInd w:val="0"/>
              <w:snapToGrid w:val="0"/>
              <w:jc w:val="center"/>
              <w:rPr>
                <w:rFonts w:eastAsia="方正书宋_GBK"/>
                <w:sz w:val="24"/>
                <w:szCs w:val="24"/>
              </w:rPr>
            </w:pPr>
            <w:r>
              <w:rPr>
                <w:rFonts w:eastAsia="方正书宋_GBK"/>
                <w:sz w:val="24"/>
                <w:szCs w:val="24"/>
              </w:rPr>
              <w:t>5%</w:t>
            </w:r>
          </w:p>
        </w:tc>
      </w:tr>
    </w:tbl>
    <w:p w:rsidR="00866A94" w:rsidRDefault="00866A94" w:rsidP="00866A94">
      <w:pPr>
        <w:adjustRightInd w:val="0"/>
        <w:snapToGrid w:val="0"/>
        <w:rPr>
          <w:rFonts w:eastAsia="方正书宋_GBK"/>
          <w:sz w:val="24"/>
          <w:szCs w:val="24"/>
        </w:rPr>
      </w:pPr>
      <w:r>
        <w:rPr>
          <w:rFonts w:eastAsia="方正书宋_GBK" w:hint="eastAsia"/>
          <w:sz w:val="24"/>
          <w:szCs w:val="24"/>
        </w:rPr>
        <w:t>注：若出现分数相同的情况，则由排名并列的区均分所占序号对应的经费。</w:t>
      </w:r>
    </w:p>
    <w:p w:rsidR="00866A94" w:rsidRDefault="00866A94" w:rsidP="00866A94">
      <w:pPr>
        <w:adjustRightInd w:val="0"/>
        <w:snapToGrid w:val="0"/>
        <w:rPr>
          <w:rFonts w:eastAsia="方正书宋_GBK"/>
          <w:sz w:val="24"/>
          <w:szCs w:val="24"/>
        </w:rPr>
      </w:pP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郊园区组年度总评经费为</w:t>
      </w:r>
      <w:r>
        <w:rPr>
          <w:rFonts w:eastAsia="方正仿宋_GBK" w:hint="eastAsia"/>
          <w:sz w:val="32"/>
          <w:szCs w:val="32"/>
        </w:rPr>
        <w:t>80</w:t>
      </w:r>
      <w:r>
        <w:rPr>
          <w:rFonts w:eastAsia="方正仿宋_GBK" w:hint="eastAsia"/>
          <w:sz w:val="32"/>
          <w:szCs w:val="32"/>
        </w:rPr>
        <w:t>万，按月度考核全年均分（使用</w:t>
      </w:r>
      <w:r>
        <w:rPr>
          <w:rFonts w:eastAsia="方正仿宋_GBK" w:hint="eastAsia"/>
          <w:sz w:val="32"/>
          <w:szCs w:val="32"/>
        </w:rPr>
        <w:t>20</w:t>
      </w:r>
      <w:r>
        <w:rPr>
          <w:rFonts w:eastAsia="方正仿宋_GBK" w:hint="eastAsia"/>
          <w:sz w:val="32"/>
          <w:szCs w:val="32"/>
        </w:rPr>
        <w:t>万）、专项活动成绩（使用</w:t>
      </w:r>
      <w:r>
        <w:rPr>
          <w:rFonts w:eastAsia="方正仿宋_GBK" w:hint="eastAsia"/>
          <w:sz w:val="32"/>
          <w:szCs w:val="32"/>
        </w:rPr>
        <w:t>60</w:t>
      </w:r>
      <w:r>
        <w:rPr>
          <w:rFonts w:eastAsia="方正仿宋_GBK" w:hint="eastAsia"/>
          <w:sz w:val="32"/>
          <w:szCs w:val="32"/>
        </w:rPr>
        <w:t>万）两项内容，分别进行排名和奖励。其中月度考核全年均分排名分配比例详见表三，专项活动成绩奖励分配比例按专项活动方案执行（若当年无专项活动，则经费并入月度考核全年均分使用）。</w:t>
      </w: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t>第十六条</w:t>
      </w:r>
      <w:r>
        <w:rPr>
          <w:rFonts w:eastAsia="方正仿宋_GBK" w:hint="eastAsia"/>
          <w:sz w:val="32"/>
          <w:szCs w:val="32"/>
        </w:rPr>
        <w:t xml:space="preserve">  </w:t>
      </w:r>
      <w:r>
        <w:rPr>
          <w:rFonts w:eastAsia="方正仿宋_GBK" w:hint="eastAsia"/>
          <w:sz w:val="32"/>
          <w:szCs w:val="32"/>
        </w:rPr>
        <w:t>【考核表彰】对于获得年度检查考核总分前列的部门和单位，在专项活动中评定排名前列的部门和单位，在全年城市道路维护管理工作中做出突出贡献的单位和个人，由市交通运输局予以表彰。</w:t>
      </w:r>
    </w:p>
    <w:p w:rsidR="00866A94" w:rsidRDefault="00866A94" w:rsidP="00866A94">
      <w:pPr>
        <w:adjustRightInd w:val="0"/>
        <w:snapToGrid w:val="0"/>
        <w:spacing w:line="300" w:lineRule="auto"/>
        <w:rPr>
          <w:rFonts w:eastAsia="方正仿宋_GBK"/>
          <w:sz w:val="32"/>
          <w:szCs w:val="32"/>
        </w:rPr>
      </w:pPr>
    </w:p>
    <w:p w:rsidR="00866A94" w:rsidRDefault="00866A94" w:rsidP="00866A94">
      <w:pPr>
        <w:adjustRightInd w:val="0"/>
        <w:snapToGrid w:val="0"/>
        <w:spacing w:line="300" w:lineRule="auto"/>
        <w:jc w:val="center"/>
        <w:rPr>
          <w:rFonts w:eastAsia="方正黑体_GBK"/>
          <w:sz w:val="32"/>
          <w:szCs w:val="32"/>
        </w:rPr>
      </w:pPr>
      <w:r>
        <w:rPr>
          <w:rFonts w:eastAsia="方正黑体_GBK" w:hint="eastAsia"/>
          <w:sz w:val="32"/>
          <w:szCs w:val="32"/>
        </w:rPr>
        <w:t>第四章</w:t>
      </w:r>
      <w:r>
        <w:rPr>
          <w:rFonts w:eastAsia="方正黑体_GBK" w:hint="eastAsia"/>
          <w:sz w:val="32"/>
          <w:szCs w:val="32"/>
        </w:rPr>
        <w:t xml:space="preserve">  </w:t>
      </w:r>
      <w:r>
        <w:rPr>
          <w:rFonts w:eastAsia="方正黑体_GBK" w:hint="eastAsia"/>
          <w:sz w:val="32"/>
          <w:szCs w:val="32"/>
        </w:rPr>
        <w:t>附则</w:t>
      </w:r>
    </w:p>
    <w:p w:rsidR="00866A94" w:rsidRDefault="00866A94" w:rsidP="00866A94">
      <w:pPr>
        <w:adjustRightInd w:val="0"/>
        <w:snapToGrid w:val="0"/>
        <w:spacing w:line="300" w:lineRule="auto"/>
        <w:ind w:firstLineChars="200" w:firstLine="640"/>
        <w:rPr>
          <w:rFonts w:eastAsia="方正仿宋_GBK"/>
          <w:sz w:val="32"/>
          <w:szCs w:val="32"/>
        </w:rPr>
      </w:pPr>
    </w:p>
    <w:p w:rsidR="00866A94" w:rsidRDefault="00866A94" w:rsidP="00866A94">
      <w:pPr>
        <w:adjustRightInd w:val="0"/>
        <w:snapToGrid w:val="0"/>
        <w:spacing w:line="300" w:lineRule="auto"/>
        <w:ind w:firstLineChars="200" w:firstLine="640"/>
        <w:rPr>
          <w:rFonts w:eastAsia="方正仿宋_GBK"/>
          <w:sz w:val="32"/>
          <w:szCs w:val="32"/>
        </w:rPr>
      </w:pPr>
      <w:r>
        <w:rPr>
          <w:rFonts w:eastAsia="方正仿宋_GBK" w:hint="eastAsia"/>
          <w:sz w:val="32"/>
          <w:szCs w:val="32"/>
        </w:rPr>
        <w:lastRenderedPageBreak/>
        <w:t>第十七条</w:t>
      </w:r>
      <w:r>
        <w:rPr>
          <w:rFonts w:eastAsia="方正仿宋_GBK" w:hint="eastAsia"/>
          <w:sz w:val="32"/>
          <w:szCs w:val="32"/>
        </w:rPr>
        <w:t xml:space="preserve">  </w:t>
      </w:r>
      <w:r>
        <w:rPr>
          <w:rFonts w:eastAsia="方正仿宋_GBK" w:hint="eastAsia"/>
          <w:sz w:val="32"/>
          <w:szCs w:val="32"/>
        </w:rPr>
        <w:t>【办法解释】本办法由市交通运输局负责解释。</w:t>
      </w:r>
    </w:p>
    <w:p w:rsidR="00866A94" w:rsidRPr="00866A94" w:rsidRDefault="00866A94" w:rsidP="00866A94">
      <w:pPr>
        <w:adjustRightInd w:val="0"/>
        <w:snapToGrid w:val="0"/>
        <w:spacing w:line="300" w:lineRule="auto"/>
        <w:ind w:firstLineChars="200" w:firstLine="640"/>
        <w:rPr>
          <w:rFonts w:eastAsia="方正仿宋_GBK"/>
          <w:sz w:val="32"/>
          <w:szCs w:val="32"/>
        </w:rPr>
        <w:sectPr w:rsidR="00866A94" w:rsidRPr="00866A94">
          <w:footerReference w:type="even" r:id="rId7"/>
          <w:footerReference w:type="default" r:id="rId8"/>
          <w:pgSz w:w="11907" w:h="16840"/>
          <w:pgMar w:top="2098" w:right="1588" w:bottom="1701" w:left="1588" w:header="851" w:footer="1247" w:gutter="0"/>
          <w:cols w:space="425"/>
          <w:docGrid w:linePitch="408"/>
        </w:sectPr>
      </w:pPr>
      <w:r>
        <w:rPr>
          <w:rFonts w:eastAsia="方正仿宋_GBK" w:hint="eastAsia"/>
          <w:sz w:val="32"/>
          <w:szCs w:val="32"/>
        </w:rPr>
        <w:t>第十八条</w:t>
      </w:r>
      <w:r>
        <w:rPr>
          <w:rFonts w:eastAsia="方正仿宋_GBK" w:hint="eastAsia"/>
          <w:sz w:val="32"/>
          <w:szCs w:val="32"/>
        </w:rPr>
        <w:t xml:space="preserve">  </w:t>
      </w:r>
      <w:r>
        <w:rPr>
          <w:rFonts w:eastAsia="方正仿宋_GBK" w:hint="eastAsia"/>
          <w:sz w:val="32"/>
          <w:szCs w:val="32"/>
        </w:rPr>
        <w:t>【施行日期】本办法自颁布之日起施行。</w:t>
      </w:r>
    </w:p>
    <w:p w:rsidR="00866A94" w:rsidRPr="00866A94" w:rsidRDefault="00866A94" w:rsidP="00866A94"/>
    <w:sectPr w:rsidR="00866A94" w:rsidRPr="00866A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A94" w:rsidRDefault="00866A94" w:rsidP="00866A94">
      <w:r>
        <w:separator/>
      </w:r>
    </w:p>
  </w:endnote>
  <w:endnote w:type="continuationSeparator" w:id="0">
    <w:p w:rsidR="00866A94" w:rsidRDefault="00866A94" w:rsidP="0086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方正书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40705"/>
      <w:docPartObj>
        <w:docPartGallery w:val="AutoText"/>
      </w:docPartObj>
    </w:sdtPr>
    <w:sdtContent>
      <w:p w:rsidR="00866A94" w:rsidRDefault="00866A94">
        <w:pPr>
          <w:pStyle w:val="a4"/>
          <w:jc w:val="center"/>
        </w:pPr>
        <w:r>
          <w:fldChar w:fldCharType="begin"/>
        </w:r>
        <w:r>
          <w:instrText xml:space="preserve"> PAGE   \* MERGEFORMAT </w:instrText>
        </w:r>
        <w:r>
          <w:fldChar w:fldCharType="separate"/>
        </w:r>
        <w:r w:rsidRPr="00360BDE">
          <w:rPr>
            <w:noProof/>
            <w:lang w:val="zh-CN"/>
          </w:rPr>
          <w:t>62</w:t>
        </w:r>
        <w:r>
          <w:rPr>
            <w:lang w:val="zh-CN"/>
          </w:rPr>
          <w:fldChar w:fldCharType="end"/>
        </w:r>
      </w:p>
    </w:sdtContent>
  </w:sdt>
  <w:p w:rsidR="00866A94" w:rsidRDefault="00866A94">
    <w:pPr>
      <w:pStyle w:val="a4"/>
      <w:ind w:firstLineChars="100" w:firstLine="28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40704"/>
      <w:docPartObj>
        <w:docPartGallery w:val="AutoText"/>
      </w:docPartObj>
    </w:sdtPr>
    <w:sdtContent>
      <w:p w:rsidR="00866A94" w:rsidRDefault="00866A94">
        <w:pPr>
          <w:pStyle w:val="a4"/>
          <w:jc w:val="center"/>
        </w:pPr>
        <w:r>
          <w:fldChar w:fldCharType="begin"/>
        </w:r>
        <w:r>
          <w:instrText xml:space="preserve"> PAGE   \* MERGEFORMAT </w:instrText>
        </w:r>
        <w:r>
          <w:fldChar w:fldCharType="separate"/>
        </w:r>
        <w:r w:rsidRPr="00866A94">
          <w:rPr>
            <w:noProof/>
            <w:lang w:val="zh-CN"/>
          </w:rPr>
          <w:t>1</w:t>
        </w:r>
        <w:r>
          <w:rPr>
            <w:lang w:val="zh-CN"/>
          </w:rPr>
          <w:fldChar w:fldCharType="end"/>
        </w:r>
      </w:p>
    </w:sdtContent>
  </w:sdt>
  <w:p w:rsidR="00866A94" w:rsidRDefault="00866A94">
    <w:pPr>
      <w:pStyle w:val="a4"/>
      <w:wordWrap w:val="0"/>
      <w:jc w:val="right"/>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A94" w:rsidRDefault="00866A94" w:rsidP="00866A94">
      <w:r>
        <w:separator/>
      </w:r>
    </w:p>
  </w:footnote>
  <w:footnote w:type="continuationSeparator" w:id="0">
    <w:p w:rsidR="00866A94" w:rsidRDefault="00866A94" w:rsidP="00866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53"/>
    <w:rsid w:val="0077099D"/>
    <w:rsid w:val="00866A94"/>
    <w:rsid w:val="009F5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94"/>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6A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66A94"/>
    <w:rPr>
      <w:sz w:val="18"/>
      <w:szCs w:val="18"/>
    </w:rPr>
  </w:style>
  <w:style w:type="paragraph" w:styleId="a4">
    <w:name w:val="footer"/>
    <w:basedOn w:val="a"/>
    <w:link w:val="Char0"/>
    <w:uiPriority w:val="99"/>
    <w:unhideWhenUsed/>
    <w:rsid w:val="00866A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866A94"/>
    <w:rPr>
      <w:sz w:val="18"/>
      <w:szCs w:val="18"/>
    </w:rPr>
  </w:style>
  <w:style w:type="table" w:styleId="a5">
    <w:name w:val="Table Grid"/>
    <w:basedOn w:val="a1"/>
    <w:rsid w:val="00866A9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94"/>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6A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66A94"/>
    <w:rPr>
      <w:sz w:val="18"/>
      <w:szCs w:val="18"/>
    </w:rPr>
  </w:style>
  <w:style w:type="paragraph" w:styleId="a4">
    <w:name w:val="footer"/>
    <w:basedOn w:val="a"/>
    <w:link w:val="Char0"/>
    <w:uiPriority w:val="99"/>
    <w:unhideWhenUsed/>
    <w:rsid w:val="00866A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866A94"/>
    <w:rPr>
      <w:sz w:val="18"/>
      <w:szCs w:val="18"/>
    </w:rPr>
  </w:style>
  <w:style w:type="table" w:styleId="a5">
    <w:name w:val="Table Grid"/>
    <w:basedOn w:val="a1"/>
    <w:rsid w:val="00866A9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zfwmoban</dc:creator>
  <cp:keywords/>
  <dc:description/>
  <cp:lastModifiedBy>zfwmoban</cp:lastModifiedBy>
  <cp:revision>2</cp:revision>
  <dcterms:created xsi:type="dcterms:W3CDTF">2019-08-27T08:48:00Z</dcterms:created>
  <dcterms:modified xsi:type="dcterms:W3CDTF">2019-08-27T08:51:00Z</dcterms:modified>
</cp:coreProperties>
</file>