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F0" w:rsidRPr="00951F50" w:rsidRDefault="009A3BF0" w:rsidP="009A3BF0">
      <w:pPr>
        <w:rPr>
          <w:rFonts w:ascii="方正黑体_GBK" w:eastAsia="方正黑体_GBK"/>
          <w:sz w:val="32"/>
          <w:szCs w:val="32"/>
        </w:rPr>
      </w:pPr>
      <w:r w:rsidRPr="00951F50">
        <w:rPr>
          <w:rFonts w:ascii="方正黑体_GBK" w:eastAsia="方正黑体_GBK" w:hint="eastAsia"/>
          <w:sz w:val="32"/>
          <w:szCs w:val="32"/>
        </w:rPr>
        <w:t>附件</w:t>
      </w:r>
      <w:r w:rsidRPr="00951F50">
        <w:rPr>
          <w:rFonts w:ascii="方正黑体_GBK" w:eastAsia="方正黑体_GBK"/>
          <w:sz w:val="32"/>
          <w:szCs w:val="32"/>
        </w:rPr>
        <w:t>2</w:t>
      </w:r>
    </w:p>
    <w:p w:rsidR="009A3BF0" w:rsidRPr="00951F50" w:rsidRDefault="009A3BF0" w:rsidP="009A3BF0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51F50">
        <w:rPr>
          <w:rFonts w:ascii="方正小标宋_GBK" w:eastAsia="方正小标宋_GBK" w:hint="eastAsia"/>
          <w:sz w:val="44"/>
          <w:szCs w:val="44"/>
        </w:rPr>
        <w:t>江苏省设定的涉企经营许可事项改革清单（2021年南京版）</w:t>
      </w:r>
    </w:p>
    <w:p w:rsidR="009A3BF0" w:rsidRPr="007B3BC8" w:rsidRDefault="009A3BF0" w:rsidP="009A3BF0">
      <w:pPr>
        <w:jc w:val="center"/>
        <w:rPr>
          <w:rFonts w:eastAsia="方正书宋_GBK" w:hint="eastAsia"/>
          <w:sz w:val="21"/>
          <w:szCs w:val="21"/>
        </w:rPr>
      </w:pPr>
      <w:r w:rsidRPr="00951F50">
        <w:rPr>
          <w:rFonts w:ascii="方正楷体_GBK" w:eastAsia="方正楷体_GBK" w:hint="eastAsia"/>
          <w:sz w:val="32"/>
          <w:szCs w:val="32"/>
        </w:rPr>
        <w:t>（共10项）</w:t>
      </w:r>
    </w:p>
    <w:tbl>
      <w:tblPr>
        <w:tblW w:w="147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924"/>
        <w:gridCol w:w="1750"/>
        <w:gridCol w:w="1008"/>
        <w:gridCol w:w="1232"/>
        <w:gridCol w:w="1105"/>
        <w:gridCol w:w="574"/>
        <w:gridCol w:w="574"/>
        <w:gridCol w:w="574"/>
        <w:gridCol w:w="574"/>
        <w:gridCol w:w="2002"/>
        <w:gridCol w:w="4019"/>
        <w:tblGridChange w:id="0">
          <w:tblGrid>
            <w:gridCol w:w="421"/>
            <w:gridCol w:w="924"/>
            <w:gridCol w:w="1750"/>
            <w:gridCol w:w="1008"/>
            <w:gridCol w:w="1232"/>
            <w:gridCol w:w="1105"/>
            <w:gridCol w:w="574"/>
            <w:gridCol w:w="574"/>
            <w:gridCol w:w="574"/>
            <w:gridCol w:w="574"/>
            <w:gridCol w:w="2002"/>
            <w:gridCol w:w="4019"/>
          </w:tblGrid>
        </w:tblGridChange>
      </w:tblGrid>
      <w:tr w:rsidR="009A3BF0" w:rsidRPr="00951F50" w:rsidTr="00372E1E">
        <w:trPr>
          <w:cantSplit/>
          <w:tblHeader/>
        </w:trPr>
        <w:tc>
          <w:tcPr>
            <w:tcW w:w="421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924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主管部门</w:t>
            </w:r>
          </w:p>
        </w:tc>
        <w:tc>
          <w:tcPr>
            <w:tcW w:w="1750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改革事项</w:t>
            </w:r>
          </w:p>
        </w:tc>
        <w:tc>
          <w:tcPr>
            <w:tcW w:w="1008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Default="009A3BF0" w:rsidP="00372E1E">
            <w:pPr>
              <w:spacing w:line="228" w:lineRule="auto"/>
              <w:jc w:val="center"/>
              <w:rPr>
                <w:rFonts w:eastAsia="方正黑体_GBK" w:hint="eastAsia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许可证件</w:t>
            </w:r>
          </w:p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1232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设定依据</w:t>
            </w:r>
          </w:p>
        </w:tc>
        <w:tc>
          <w:tcPr>
            <w:tcW w:w="1105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 w:hint="eastAsia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审批层级</w:t>
            </w:r>
          </w:p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和部门</w:t>
            </w:r>
          </w:p>
        </w:tc>
        <w:tc>
          <w:tcPr>
            <w:tcW w:w="2296" w:type="dxa"/>
            <w:gridSpan w:val="4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改革方式</w:t>
            </w:r>
          </w:p>
        </w:tc>
        <w:tc>
          <w:tcPr>
            <w:tcW w:w="2002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具体改革举措</w:t>
            </w:r>
          </w:p>
        </w:tc>
        <w:tc>
          <w:tcPr>
            <w:tcW w:w="4019" w:type="dxa"/>
            <w:vMerge w:val="restart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加强事中事后监管措施</w:t>
            </w:r>
          </w:p>
        </w:tc>
      </w:tr>
      <w:tr w:rsidR="009A3BF0" w:rsidRPr="00951F50" w:rsidTr="00372E1E">
        <w:trPr>
          <w:cantSplit/>
          <w:tblHeader/>
        </w:trPr>
        <w:tc>
          <w:tcPr>
            <w:tcW w:w="421" w:type="dxa"/>
            <w:vMerge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924" w:type="dxa"/>
            <w:vMerge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1750" w:type="dxa"/>
            <w:vMerge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1008" w:type="dxa"/>
            <w:vMerge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1232" w:type="dxa"/>
            <w:vMerge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1105" w:type="dxa"/>
            <w:vMerge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直接取消审批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审批改为备案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实行告知承诺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  <w:r w:rsidRPr="00951F50">
              <w:rPr>
                <w:rFonts w:eastAsia="方正黑体_GBK"/>
                <w:spacing w:val="-4"/>
                <w:sz w:val="21"/>
                <w:szCs w:val="21"/>
              </w:rPr>
              <w:t>优化审批服务</w:t>
            </w:r>
          </w:p>
        </w:tc>
        <w:tc>
          <w:tcPr>
            <w:tcW w:w="2002" w:type="dxa"/>
            <w:vMerge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  <w:tc>
          <w:tcPr>
            <w:tcW w:w="4019" w:type="dxa"/>
            <w:vMerge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黑体_GBK"/>
                <w:spacing w:val="-4"/>
                <w:sz w:val="21"/>
                <w:szCs w:val="21"/>
              </w:rPr>
            </w:pP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1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省工业和信息化厅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为修缮古建筑、近代现代重要史迹和建筑等不可移动文物及建设、修缮经依法批准的仿古建筑生产粘土实心砖许可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无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《江苏省发展新型墙</w:t>
            </w:r>
            <w:proofErr w:type="gramStart"/>
            <w:r w:rsidRPr="00951F50">
              <w:rPr>
                <w:rFonts w:eastAsia="方正书宋_GBK"/>
                <w:spacing w:val="-4"/>
                <w:sz w:val="21"/>
                <w:szCs w:val="21"/>
              </w:rPr>
              <w:t>体材</w:t>
            </w:r>
            <w:proofErr w:type="gramEnd"/>
            <w:r w:rsidRPr="00951F50">
              <w:rPr>
                <w:rFonts w:eastAsia="方正书宋_GBK"/>
                <w:spacing w:val="-4"/>
                <w:sz w:val="21"/>
                <w:szCs w:val="21"/>
              </w:rPr>
              <w:t>料条例》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设区的市墙</w:t>
            </w:r>
            <w:proofErr w:type="gramStart"/>
            <w:r w:rsidRPr="00951F50">
              <w:rPr>
                <w:rFonts w:eastAsia="方正书宋_GBK"/>
                <w:spacing w:val="-4"/>
                <w:sz w:val="21"/>
                <w:szCs w:val="21"/>
              </w:rPr>
              <w:t>体材料主管</w:t>
            </w:r>
            <w:proofErr w:type="gramEnd"/>
            <w:r w:rsidRPr="00951F50">
              <w:rPr>
                <w:rFonts w:eastAsia="方正书宋_GBK"/>
                <w:spacing w:val="-4"/>
                <w:sz w:val="21"/>
                <w:szCs w:val="21"/>
              </w:rPr>
              <w:t>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．减少申报材料，不再要求申请人提供营业执照复印件等材料，仅仅要求提供申请表、承诺书、列入非物质文化遗产传统砖瓦制作技艺目录材料等。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．将粘土来源、产品销售对象、产品质量等列入现场考察中。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3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．将审批时限由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30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个工作日压缩到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20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个工作日。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．加强行政执法，依法依规实行全覆盖监管。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．定期了解企业生产、销售情况，依法查处违规生产或销售粘土砖行为。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3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．及时处理投诉举报。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lastRenderedPageBreak/>
              <w:t>2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省住房城乡建设厅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管道燃气特许经营许可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燃气经营许可证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《江苏省燃气管理条例》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设区的市、县（市）人民政府（由设区的市级、县级燃气主管部门承办）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加快推动信息共享，对能够通过信息共享的，不再要求申请人提供营业执照材料。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．通过信息公示、抽查、抽验等方式，综合运用提醒、约谈、告诫等手段，依法查处违法违规行为并公开结果。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．加强信用监管，依法依规对失信主体开展失信惩戒。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3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省交通运输厅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汽车租赁经营许可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汽车租赁经营许可证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《江苏省道路运输条例》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设区的市级交通运输部门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取消“汽车租赁经营许可”，改为备案管理。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w w:val="90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公开”监管，发现违法违规行为的要依法查处并公开结果。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．加强“互联网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+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监管”，通过信息化手段强化对企业投标及履约行为的监管。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3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．加强信用监管，依法向社会公布企业信用状况，拓展信用评级结果应用范围，依法依规对失信主体开展失信惩戒。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4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．依法及时处理投诉举报。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5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．发挥行业协会自律作用。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lastRenderedPageBreak/>
              <w:t>4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省交通运输厅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机动车综合性能检测经营许可（含延续经营许可）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机动车综合性能检测经营许可证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《江苏省道路运输条例》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设区的市级交通运输部门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制作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并公布告知承诺书格式文本，一次性告知申请人许可条件和所需材料。对申请人自愿承诺符合许可条件并按要求提交材料的，当场</w:t>
            </w:r>
            <w:proofErr w:type="gramStart"/>
            <w:r w:rsidRPr="00951F50">
              <w:rPr>
                <w:rFonts w:eastAsia="方正书宋_GBK"/>
                <w:spacing w:val="-4"/>
                <w:sz w:val="21"/>
                <w:szCs w:val="21"/>
              </w:rPr>
              <w:t>作出</w:t>
            </w:r>
            <w:proofErr w:type="gramEnd"/>
            <w:r w:rsidRPr="00951F50">
              <w:rPr>
                <w:rFonts w:eastAsia="方正书宋_GBK"/>
                <w:spacing w:val="-4"/>
                <w:sz w:val="21"/>
                <w:szCs w:val="21"/>
              </w:rPr>
              <w:t>许可决定。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w w:val="90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．强化市场监管、交通运输等部门之间登记许可信息共享。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公开”监管，发现违法违规行为的要依法查处并公开结果。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3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．在实施许可后一定时期内加强监督检查，对不符合承诺条件开展经营的要责令限期整改，逾期不整改或者整改后仍达不到要求的，要依法撤销许可证件。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4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．加强信用监管，建立健全信用管理制度，依法依规对失信主体开展失信惩戒。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5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．发挥行业协会自律作用。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5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省交通运输厅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交通物流经营许可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交通物流经营许可证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《江苏省道路运输条例》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设区的市级、县级交通运输部门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制作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并公布告知承诺书格式文本，一次性告知申请人许可条件和所需材料。对申请人自愿承诺符合许可条件并按要求提交材料的，当场</w:t>
            </w:r>
            <w:proofErr w:type="gramStart"/>
            <w:r w:rsidRPr="00951F50">
              <w:rPr>
                <w:rFonts w:eastAsia="方正书宋_GBK"/>
                <w:spacing w:val="-4"/>
                <w:sz w:val="21"/>
                <w:szCs w:val="21"/>
              </w:rPr>
              <w:t>作出</w:t>
            </w:r>
            <w:proofErr w:type="gramEnd"/>
            <w:r w:rsidRPr="00951F50">
              <w:rPr>
                <w:rFonts w:eastAsia="方正书宋_GBK"/>
                <w:spacing w:val="-4"/>
                <w:sz w:val="21"/>
                <w:szCs w:val="21"/>
              </w:rPr>
              <w:t>许可决定。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w w:val="90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．强化市场监管、交通运输等部门之间登记许可信息共享。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公开”监管，发现违法违规行为的要依法查处并公开结果。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3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．在实施许可后一定时期内加强监督检查，对不符合承诺条件开展经营的要责令限期整改，逾期不整改或者整改后仍达不到要求的，要依法撤销许可证件。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4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．加强信用监管，建立健全信用管理制度，依法依规对失信主体开展失信惩戒。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5</w:t>
            </w:r>
            <w:r w:rsidRPr="00951F50">
              <w:rPr>
                <w:rFonts w:eastAsia="方正书宋_GBK" w:hint="eastAsia"/>
                <w:spacing w:val="-4"/>
                <w:w w:val="90"/>
                <w:sz w:val="21"/>
                <w:szCs w:val="21"/>
              </w:rPr>
              <w:t>．发挥行业协会自律作用。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lastRenderedPageBreak/>
              <w:t>6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省交通运输厅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道路货物运输代理、货运信息服务经营许可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道路货物运输代理、货运信息服务经营许可证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《江苏省道路运输条例》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设区的市级、县级交通运输部门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制作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并公布告知承诺书格式文本，一次性告知申请人许可条件和所需材料。对申请人自愿承诺符合许可条件并按要求提交材料的，当场</w:t>
            </w:r>
            <w:proofErr w:type="gramStart"/>
            <w:r w:rsidRPr="00951F50">
              <w:rPr>
                <w:rFonts w:eastAsia="方正书宋_GBK"/>
                <w:spacing w:val="-4"/>
                <w:sz w:val="21"/>
                <w:szCs w:val="21"/>
              </w:rPr>
              <w:t>作出</w:t>
            </w:r>
            <w:proofErr w:type="gramEnd"/>
            <w:r w:rsidRPr="00951F50">
              <w:rPr>
                <w:rFonts w:eastAsia="方正书宋_GBK"/>
                <w:spacing w:val="-4"/>
                <w:sz w:val="21"/>
                <w:szCs w:val="21"/>
              </w:rPr>
              <w:t>许可决定。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．强化市场监管、交通运输等部门之间登记许可信息共享。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公开”监管，发现违法违规行为的要依法查处并公开结果。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3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．在实施许可后一定时期内加强监督检查，对不符合承诺条件开展经营的要责令限期整改，逾期不整改或者整改后仍达不到要求的，要依法撤销许可证件。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4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．加强信用监管，建立健全信用管理制度，依法依规对失信主体开展失信惩戒。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5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．发挥行业协会自律作用。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7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省农业农村厅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养殖渔业船舶控制指标核准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无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《江苏省渔业港口和渔业船舶管理条例》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设区的市级、县级农业农村部门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实现申请、审批网上办理，不再要求申请人提供能够通过部门间信息共享核实的证明材料。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公开”监管，对违法违规行为要依法查处。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．对风险等级高的养殖渔船实施重点监管。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3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．强化社会监督，依法及时处理举报、投诉问题，调查处理结果向社会公开。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lastRenderedPageBreak/>
              <w:t>8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省农业农村厅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渔业港口经营许可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渔业港口经营许可证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《江苏省渔业港口和渔业船舶管理条例》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县级农业农村部门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1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实现全省一网通办，申请人“最多跑一次”。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不再要求申请人提供能够通过部门间信息共享核实的证明材料。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公开”监管，结合实际，合理确定随机抽查的比例和频次，加强随机抽查。强化抽查结果的运用，及时向社会公布抽查结果。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．对渔货装卸量较大或者特殊用途的码头进行重点巡查。检查中发现安全隐患的，责令被检查人立即排除或者限期排除。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9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省市场监管局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食品小作坊登记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小作坊登记证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《江苏省食品小作坊和食品摊贩管理条例》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县级市场监管部门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由县（市、区）级市场监管部门优化审批服务：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1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推行营业执照、食品小作坊登记证联办制度。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推广网上业务办理，压缩登记时限，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10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个工作日内完成登记工作。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3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公示登记程序、受理条件和办理标准，公开办理进度。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．依据《江苏省食品小作坊和食品摊贩管理条例》《江苏省食品小作坊卫生规范》“江苏省食品小作坊日常监督检查表”，实行全覆盖检查。对酒类，肉制品小作坊每年检查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次。对从事网络销售的食品小作坊参照重点品类小作坊监管。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．建立食品小作坊信息公示栏，公示登记证、营业执照、承诺书、添加剂使用情况、人员健康证等信息。</w:t>
            </w:r>
          </w:p>
        </w:tc>
      </w:tr>
      <w:tr w:rsidR="009A3BF0" w:rsidRPr="00951F50" w:rsidTr="00372E1E">
        <w:trPr>
          <w:cantSplit/>
        </w:trPr>
        <w:tc>
          <w:tcPr>
            <w:tcW w:w="421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lastRenderedPageBreak/>
              <w:t>1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0</w:t>
            </w:r>
          </w:p>
        </w:tc>
        <w:tc>
          <w:tcPr>
            <w:tcW w:w="924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省林业局</w:t>
            </w:r>
          </w:p>
        </w:tc>
        <w:tc>
          <w:tcPr>
            <w:tcW w:w="1750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省重点和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“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三有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”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保护野生动物人工繁育许可证的审批</w:t>
            </w:r>
          </w:p>
        </w:tc>
        <w:tc>
          <w:tcPr>
            <w:tcW w:w="1008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省重点和“三有”保护野生动物人工繁育许可证</w:t>
            </w:r>
          </w:p>
        </w:tc>
        <w:tc>
          <w:tcPr>
            <w:tcW w:w="1232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《江苏省野生动物保护条例》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设区的市级林业主管部门</w:t>
            </w: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</w:p>
        </w:tc>
        <w:tc>
          <w:tcPr>
            <w:tcW w:w="574" w:type="dxa"/>
            <w:shd w:val="clear" w:color="000000" w:fill="FFFFFF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jc w:val="center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√</w:t>
            </w:r>
          </w:p>
        </w:tc>
        <w:tc>
          <w:tcPr>
            <w:tcW w:w="2002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/>
                <w:spacing w:val="-4"/>
                <w:sz w:val="21"/>
                <w:szCs w:val="21"/>
              </w:rPr>
              <w:t>1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实现申请、审批网上办理。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进一步优化审批流程，规范专家评审。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3</w:t>
            </w:r>
            <w:r w:rsidRPr="002F29DB">
              <w:rPr>
                <w:rFonts w:eastAsia="方正书宋_GBK"/>
                <w:color w:val="000000"/>
                <w:spacing w:val="-4"/>
                <w:sz w:val="21"/>
                <w:szCs w:val="21"/>
              </w:rPr>
              <w:t>．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将审批时限由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20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个工作日压缩至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15</w:t>
            </w:r>
            <w:r w:rsidRPr="00951F50">
              <w:rPr>
                <w:rFonts w:eastAsia="方正书宋_GBK"/>
                <w:spacing w:val="-4"/>
                <w:sz w:val="21"/>
                <w:szCs w:val="21"/>
              </w:rPr>
              <w:t>个工作日。</w:t>
            </w:r>
          </w:p>
        </w:tc>
        <w:tc>
          <w:tcPr>
            <w:tcW w:w="4019" w:type="dxa"/>
            <w:tcMar>
              <w:left w:w="57" w:type="dxa"/>
              <w:right w:w="85" w:type="dxa"/>
            </w:tcMar>
            <w:vAlign w:val="center"/>
          </w:tcPr>
          <w:p w:rsidR="009A3BF0" w:rsidRPr="00951F50" w:rsidRDefault="009A3BF0" w:rsidP="00372E1E">
            <w:pPr>
              <w:spacing w:line="228" w:lineRule="auto"/>
              <w:rPr>
                <w:rFonts w:eastAsia="方正书宋_GBK"/>
                <w:spacing w:val="-4"/>
                <w:sz w:val="21"/>
                <w:szCs w:val="21"/>
              </w:rPr>
            </w:pP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1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．严格落实行业标准和规范，针对不同物种采取差别化、精细化管理方式。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2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．开展“双随机、</w:t>
            </w:r>
            <w:proofErr w:type="gramStart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一</w:t>
            </w:r>
            <w:proofErr w:type="gramEnd"/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公开”监管，合理确定抽查比例和频次。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3</w:t>
            </w:r>
            <w:r w:rsidRPr="00951F50">
              <w:rPr>
                <w:rFonts w:eastAsia="方正书宋_GBK" w:hint="eastAsia"/>
                <w:spacing w:val="-4"/>
                <w:sz w:val="21"/>
                <w:szCs w:val="21"/>
              </w:rPr>
              <w:t>．强化社会监督，及时依法处理投诉举报。</w:t>
            </w:r>
          </w:p>
        </w:tc>
      </w:tr>
    </w:tbl>
    <w:p w:rsidR="00FE5451" w:rsidRDefault="00FE5451">
      <w:bookmarkStart w:id="1" w:name="_GoBack"/>
      <w:bookmarkEnd w:id="1"/>
    </w:p>
    <w:sectPr w:rsidR="00FE5451" w:rsidSect="009A3BF0">
      <w:pgSz w:w="16838" w:h="11906" w:orient="landscape"/>
      <w:pgMar w:top="720" w:right="720" w:bottom="720" w:left="72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F0" w:rsidRDefault="009A3BF0" w:rsidP="009A3BF0">
      <w:r>
        <w:separator/>
      </w:r>
    </w:p>
  </w:endnote>
  <w:endnote w:type="continuationSeparator" w:id="0">
    <w:p w:rsidR="009A3BF0" w:rsidRDefault="009A3BF0" w:rsidP="009A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F0" w:rsidRDefault="009A3BF0" w:rsidP="009A3BF0">
      <w:r>
        <w:separator/>
      </w:r>
    </w:p>
  </w:footnote>
  <w:footnote w:type="continuationSeparator" w:id="0">
    <w:p w:rsidR="009A3BF0" w:rsidRDefault="009A3BF0" w:rsidP="009A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72"/>
    <w:rsid w:val="009A3BF0"/>
    <w:rsid w:val="00A45172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F0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F0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2022-01-29T08:54:00Z</dcterms:created>
  <dcterms:modified xsi:type="dcterms:W3CDTF">2022-01-29T08:56:00Z</dcterms:modified>
</cp:coreProperties>
</file>