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附件3</w:t>
      </w:r>
    </w:p>
    <w:p>
      <w:pPr>
        <w:spacing w:line="300" w:lineRule="exact"/>
        <w:rPr>
          <w:rFonts w:hint="eastAsia" w:ascii="方正小标宋_GBK" w:hAnsi="黑体" w:eastAsia="方正小标宋_GBK"/>
          <w:sz w:val="21"/>
          <w:szCs w:val="21"/>
        </w:rPr>
      </w:pPr>
    </w:p>
    <w:p>
      <w:pPr>
        <w:widowControl/>
        <w:spacing w:line="300" w:lineRule="auto"/>
        <w:jc w:val="center"/>
        <w:rPr>
          <w:rFonts w:hint="eastAsia" w:ascii="方正小标宋_GBK" w:hAnsi="黑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/>
          <w:sz w:val="44"/>
          <w:szCs w:val="44"/>
        </w:rPr>
        <w:t>运输结构调整工作监测数据统计表</w:t>
      </w:r>
    </w:p>
    <w:bookmarkEnd w:id="0"/>
    <w:p>
      <w:pPr>
        <w:ind w:firstLine="1680" w:firstLineChars="800"/>
        <w:jc w:val="both"/>
        <w:rPr>
          <w:rFonts w:hint="eastAsia" w:eastAsia="方正书宋_GBK"/>
          <w:sz w:val="21"/>
          <w:szCs w:val="21"/>
          <w:u w:val="single"/>
        </w:rPr>
      </w:pPr>
      <w:r>
        <w:rPr>
          <w:rFonts w:eastAsia="方正书宋_GBK"/>
          <w:sz w:val="21"/>
          <w:szCs w:val="21"/>
        </w:rPr>
        <w:t>填报日期</w:t>
      </w:r>
      <w:r>
        <w:rPr>
          <w:rFonts w:eastAsia="方正书宋_GBK"/>
          <w:sz w:val="21"/>
          <w:szCs w:val="21"/>
          <w:u w:val="single"/>
        </w:rPr>
        <w:t xml:space="preserve">          </w:t>
      </w:r>
      <w:r>
        <w:rPr>
          <w:rFonts w:hint="eastAsia" w:eastAsia="方正书宋_GBK"/>
          <w:sz w:val="21"/>
          <w:szCs w:val="21"/>
          <w:u w:val="single"/>
        </w:rPr>
        <w:t xml:space="preserve">    </w:t>
      </w:r>
      <w:r>
        <w:rPr>
          <w:rFonts w:eastAsia="方正书宋_GBK"/>
          <w:sz w:val="21"/>
          <w:szCs w:val="21"/>
          <w:u w:val="single"/>
        </w:rPr>
        <w:t xml:space="preserve">       </w:t>
      </w:r>
      <w:r>
        <w:rPr>
          <w:rFonts w:eastAsia="方正书宋_GBK"/>
          <w:sz w:val="21"/>
          <w:szCs w:val="21"/>
        </w:rPr>
        <w:t xml:space="preserve">  填报部门</w:t>
      </w:r>
      <w:r>
        <w:rPr>
          <w:rFonts w:eastAsia="方正书宋_GBK"/>
          <w:sz w:val="21"/>
          <w:szCs w:val="21"/>
          <w:u w:val="single"/>
        </w:rPr>
        <w:t xml:space="preserve">       </w:t>
      </w:r>
      <w:r>
        <w:rPr>
          <w:rFonts w:hint="eastAsia" w:eastAsia="方正书宋_GBK"/>
          <w:sz w:val="21"/>
          <w:szCs w:val="21"/>
          <w:u w:val="single"/>
        </w:rPr>
        <w:t xml:space="preserve">                    </w:t>
      </w:r>
      <w:r>
        <w:rPr>
          <w:rFonts w:eastAsia="方正书宋_GBK"/>
          <w:sz w:val="21"/>
          <w:szCs w:val="21"/>
          <w:u w:val="single"/>
        </w:rPr>
        <w:t xml:space="preserve">         </w:t>
      </w:r>
      <w:r>
        <w:rPr>
          <w:rFonts w:eastAsia="方正书宋_GBK"/>
          <w:sz w:val="21"/>
          <w:szCs w:val="21"/>
        </w:rPr>
        <w:t xml:space="preserve">   联</w:t>
      </w:r>
      <w:r>
        <w:rPr>
          <w:rFonts w:hint="eastAsia" w:eastAsia="方正书宋_GBK"/>
          <w:sz w:val="21"/>
          <w:szCs w:val="21"/>
        </w:rPr>
        <w:t xml:space="preserve"> </w:t>
      </w:r>
      <w:r>
        <w:rPr>
          <w:rFonts w:eastAsia="方正书宋_GBK"/>
          <w:sz w:val="21"/>
          <w:szCs w:val="21"/>
        </w:rPr>
        <w:t>系</w:t>
      </w:r>
      <w:r>
        <w:rPr>
          <w:rFonts w:hint="eastAsia" w:eastAsia="方正书宋_GBK"/>
          <w:sz w:val="21"/>
          <w:szCs w:val="21"/>
        </w:rPr>
        <w:t xml:space="preserve"> </w:t>
      </w:r>
      <w:r>
        <w:rPr>
          <w:rFonts w:eastAsia="方正书宋_GBK"/>
          <w:sz w:val="21"/>
          <w:szCs w:val="21"/>
        </w:rPr>
        <w:t>人</w:t>
      </w:r>
      <w:r>
        <w:rPr>
          <w:rFonts w:eastAsia="方正书宋_GBK"/>
          <w:sz w:val="21"/>
          <w:szCs w:val="21"/>
          <w:u w:val="single"/>
        </w:rPr>
        <w:t xml:space="preserve">         </w:t>
      </w:r>
      <w:r>
        <w:rPr>
          <w:rFonts w:hint="eastAsia" w:eastAsia="方正书宋_GBK"/>
          <w:sz w:val="21"/>
          <w:szCs w:val="21"/>
          <w:u w:val="single"/>
        </w:rPr>
        <w:t xml:space="preserve">    </w:t>
      </w:r>
      <w:r>
        <w:rPr>
          <w:rFonts w:eastAsia="方正书宋_GBK"/>
          <w:sz w:val="21"/>
          <w:szCs w:val="21"/>
          <w:u w:val="single"/>
        </w:rPr>
        <w:t xml:space="preserve">  </w:t>
      </w:r>
      <w:r>
        <w:rPr>
          <w:rFonts w:hint="eastAsia" w:eastAsia="方正书宋_GBK"/>
          <w:sz w:val="21"/>
          <w:szCs w:val="21"/>
          <w:u w:val="single"/>
        </w:rPr>
        <w:t xml:space="preserve">   </w:t>
      </w:r>
      <w:r>
        <w:rPr>
          <w:rFonts w:eastAsia="方正书宋_GBK"/>
          <w:sz w:val="21"/>
          <w:szCs w:val="21"/>
          <w:u w:val="single"/>
        </w:rPr>
        <w:t xml:space="preserve">    </w:t>
      </w:r>
      <w:r>
        <w:rPr>
          <w:rFonts w:hint="eastAsia" w:eastAsia="方正书宋_GBK"/>
          <w:sz w:val="21"/>
          <w:szCs w:val="21"/>
        </w:rPr>
        <w:t xml:space="preserve">  </w:t>
      </w:r>
      <w:r>
        <w:rPr>
          <w:rFonts w:eastAsia="方正书宋_GBK"/>
          <w:sz w:val="21"/>
          <w:szCs w:val="21"/>
        </w:rPr>
        <w:t>联系电话</w:t>
      </w:r>
      <w:r>
        <w:rPr>
          <w:rFonts w:eastAsia="方正书宋_GBK"/>
          <w:sz w:val="21"/>
          <w:szCs w:val="21"/>
          <w:u w:val="single"/>
        </w:rPr>
        <w:t xml:space="preserve">    </w:t>
      </w:r>
      <w:r>
        <w:rPr>
          <w:rFonts w:hint="eastAsia" w:eastAsia="方正书宋_GBK"/>
          <w:sz w:val="21"/>
          <w:szCs w:val="21"/>
          <w:u w:val="single"/>
        </w:rPr>
        <w:t xml:space="preserve">          </w:t>
      </w:r>
      <w:r>
        <w:rPr>
          <w:rFonts w:eastAsia="方正书宋_GBK"/>
          <w:sz w:val="21"/>
          <w:szCs w:val="21"/>
          <w:u w:val="single"/>
        </w:rPr>
        <w:t xml:space="preserve">   </w:t>
      </w:r>
      <w:r>
        <w:rPr>
          <w:rFonts w:hint="eastAsia" w:eastAsia="方正书宋_GBK"/>
          <w:sz w:val="21"/>
          <w:szCs w:val="21"/>
          <w:u w:val="single"/>
        </w:rPr>
        <w:t xml:space="preserve">    </w:t>
      </w:r>
    </w:p>
    <w:tbl>
      <w:tblPr>
        <w:tblStyle w:val="2"/>
        <w:tblW w:w="14686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877"/>
        <w:gridCol w:w="3977"/>
        <w:gridCol w:w="658"/>
        <w:gridCol w:w="828"/>
        <w:gridCol w:w="26"/>
        <w:gridCol w:w="802"/>
        <w:gridCol w:w="1257"/>
        <w:gridCol w:w="1527"/>
        <w:gridCol w:w="302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12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序号</w:t>
            </w:r>
          </w:p>
        </w:tc>
        <w:tc>
          <w:tcPr>
            <w:tcW w:w="5854" w:type="dxa"/>
            <w:gridSpan w:val="2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指标</w:t>
            </w:r>
          </w:p>
        </w:tc>
        <w:tc>
          <w:tcPr>
            <w:tcW w:w="658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单位</w:t>
            </w:r>
          </w:p>
        </w:tc>
        <w:tc>
          <w:tcPr>
            <w:tcW w:w="828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2017年</w:t>
            </w:r>
          </w:p>
          <w:p>
            <w:pPr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完成量</w:t>
            </w:r>
          </w:p>
        </w:tc>
        <w:tc>
          <w:tcPr>
            <w:tcW w:w="828" w:type="dxa"/>
            <w:gridSpan w:val="2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2018年</w:t>
            </w:r>
          </w:p>
          <w:p>
            <w:pPr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完成量</w:t>
            </w:r>
          </w:p>
        </w:tc>
        <w:tc>
          <w:tcPr>
            <w:tcW w:w="278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2019—2020年</w:t>
            </w:r>
          </w:p>
        </w:tc>
        <w:tc>
          <w:tcPr>
            <w:tcW w:w="302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责任单位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1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方正黑体_GBK" w:eastAsia="方正黑体_GBK"/>
                <w:b/>
                <w:sz w:val="21"/>
                <w:szCs w:val="21"/>
              </w:rPr>
            </w:pPr>
          </w:p>
        </w:tc>
        <w:tc>
          <w:tcPr>
            <w:tcW w:w="5854" w:type="dxa"/>
            <w:gridSpan w:val="2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方正黑体_GBK" w:eastAsia="方正黑体_GBK"/>
                <w:b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方正黑体_GBK" w:eastAsia="方正黑体_GBK"/>
                <w:b/>
                <w:sz w:val="21"/>
                <w:szCs w:val="21"/>
              </w:rPr>
            </w:pPr>
          </w:p>
        </w:tc>
        <w:tc>
          <w:tcPr>
            <w:tcW w:w="828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方正黑体_GBK" w:eastAsia="方正黑体_GBK"/>
                <w:b/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方正黑体_GBK" w:eastAsia="方正黑体_GBK"/>
                <w:b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ascii="方正黑体_GBK" w:eastAsia="方正黑体_GBK"/>
                <w:sz w:val="21"/>
                <w:szCs w:val="21"/>
              </w:rPr>
              <w:t>当季完成量</w:t>
            </w: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ascii="方正黑体_GBK" w:eastAsia="方正黑体_GBK"/>
                <w:sz w:val="21"/>
                <w:szCs w:val="21"/>
              </w:rPr>
              <w:t>年度累计完成</w:t>
            </w: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方正黑体_GBK" w:eastAsia="方正黑体_GBK"/>
                <w:b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86" w:type="dxa"/>
            <w:gridSpan w:val="10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方正书宋_GBK"/>
                <w:b/>
                <w:sz w:val="21"/>
                <w:szCs w:val="21"/>
              </w:rPr>
            </w:pPr>
            <w:r>
              <w:rPr>
                <w:rFonts w:hint="eastAsia" w:eastAsia="方正书宋_GBK"/>
                <w:b/>
                <w:sz w:val="21"/>
                <w:szCs w:val="21"/>
              </w:rPr>
              <w:t>一、江北新区管委会、各区政府和市各有关直属单位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1</w:t>
            </w:r>
          </w:p>
        </w:tc>
        <w:tc>
          <w:tcPr>
            <w:tcW w:w="1877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重点企业铁路货物发送量</w:t>
            </w:r>
          </w:p>
        </w:tc>
        <w:tc>
          <w:tcPr>
            <w:tcW w:w="397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南京港集团有限公司（新生圩港区）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—</w:t>
            </w: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30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栖霞区政府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2</w:t>
            </w:r>
          </w:p>
        </w:tc>
        <w:tc>
          <w:tcPr>
            <w:tcW w:w="187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397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中国石油化工股份有限公司金陵分公司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—</w:t>
            </w: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30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栖霞区政府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3</w:t>
            </w:r>
          </w:p>
        </w:tc>
        <w:tc>
          <w:tcPr>
            <w:tcW w:w="187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397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江苏金翔石油化工有限公司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—</w:t>
            </w: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30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栖霞区政府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4</w:t>
            </w:r>
          </w:p>
        </w:tc>
        <w:tc>
          <w:tcPr>
            <w:tcW w:w="187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397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中国石化集团金陵石化有限公司烷基苯厂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—</w:t>
            </w: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30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栖霞区政府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5</w:t>
            </w:r>
          </w:p>
        </w:tc>
        <w:tc>
          <w:tcPr>
            <w:tcW w:w="187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397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南京西坝码头有限公司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—</w:t>
            </w: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30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江北新区管委会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6</w:t>
            </w:r>
          </w:p>
        </w:tc>
        <w:tc>
          <w:tcPr>
            <w:tcW w:w="187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397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中国石化扬子石油化工有限公司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—</w:t>
            </w: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30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江北新区管委会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7</w:t>
            </w:r>
          </w:p>
        </w:tc>
        <w:tc>
          <w:tcPr>
            <w:tcW w:w="187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397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南京钢铁股份有限公司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—</w:t>
            </w: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30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江北新区管委会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8</w:t>
            </w:r>
          </w:p>
        </w:tc>
        <w:tc>
          <w:tcPr>
            <w:tcW w:w="187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397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梅山钢铁股份有限公司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—</w:t>
            </w: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30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雨花台区政府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9</w:t>
            </w: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大型工矿企业(大宗货物年运量150万吨以上，下同）数量，同步更新附件4的企业名录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个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30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江北新区管委会</w:t>
            </w:r>
          </w:p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各区政府和市各有关直属单位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10</w:t>
            </w: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方正书宋_GBK"/>
                <w:w w:val="90"/>
                <w:sz w:val="21"/>
                <w:szCs w:val="21"/>
              </w:rPr>
            </w:pPr>
            <w:r>
              <w:rPr>
                <w:rFonts w:hint="eastAsia" w:eastAsia="方正书宋_GBK"/>
                <w:w w:val="90"/>
                <w:sz w:val="21"/>
                <w:szCs w:val="21"/>
              </w:rPr>
              <w:t>接入铁路专用线的大型工矿企业数量，同步更新附件4的企业名录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个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30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江北新区管委会</w:t>
            </w:r>
          </w:p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各区政府和市各有关直属单位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11</w:t>
            </w: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城市建成区新增和更新轻型物流配送车辆数量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万辆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30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江北新区管委会</w:t>
            </w:r>
          </w:p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各区政府和市各有关直属单位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12</w:t>
            </w: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城市建成区新增和更新轻型物流配送车辆中，新能源车辆和达到国六排放标准的清洁能源车辆数量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万辆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30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江北新区管委会、</w:t>
            </w:r>
          </w:p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各区政府和市各有关直属单位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13</w:t>
            </w: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高速公路货运车辆超限超载率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%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  <w:tc>
          <w:tcPr>
            <w:tcW w:w="30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江北新区管委会</w:t>
            </w:r>
          </w:p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各区政府和市各有关直属单位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14</w:t>
            </w: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钢铁、电力等重点</w:t>
            </w:r>
            <w:r>
              <w:rPr>
                <w:rFonts w:eastAsia="方正书宋_GBK"/>
                <w:sz w:val="21"/>
                <w:szCs w:val="21"/>
              </w:rPr>
              <w:t>企业大宗货物运输</w:t>
            </w:r>
            <w:r>
              <w:rPr>
                <w:rFonts w:hint="eastAsia" w:eastAsia="方正书宋_GBK"/>
                <w:sz w:val="21"/>
                <w:szCs w:val="21"/>
              </w:rPr>
              <w:t>总量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江北新区管委会</w:t>
            </w:r>
          </w:p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各区政府和市各有关直属单位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15</w:t>
            </w: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钢铁、电力等重点</w:t>
            </w:r>
            <w:r>
              <w:rPr>
                <w:rFonts w:eastAsia="方正书宋_GBK"/>
                <w:sz w:val="21"/>
                <w:szCs w:val="21"/>
              </w:rPr>
              <w:t>企业大宗货物铁路运输量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江北新区管委会</w:t>
            </w:r>
          </w:p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各区政府和市各有关直属单位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16</w:t>
            </w: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钢铁、电力等重点</w:t>
            </w:r>
            <w:r>
              <w:rPr>
                <w:rFonts w:eastAsia="方正书宋_GBK"/>
                <w:sz w:val="21"/>
                <w:szCs w:val="21"/>
              </w:rPr>
              <w:t>企业大宗货物水路运输量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江北新区管委会</w:t>
            </w:r>
          </w:p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各区政府和市各有关直属单位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17</w:t>
            </w: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接入铁路专用线的大型工矿企业大宗货物运输总量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江北新区管委会</w:t>
            </w:r>
          </w:p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各区政府和市各有关直属单位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18</w:t>
            </w: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接入铁路专用线的大型工矿企业大宗货物铁路运输量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江北新区管委会</w:t>
            </w:r>
          </w:p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各区政府和市各有关直属单位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19</w:t>
            </w: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接入铁路专用线的大型工矿企业大宗货物</w:t>
            </w:r>
            <w:r>
              <w:rPr>
                <w:rFonts w:hint="eastAsia" w:eastAsia="方正书宋_GBK"/>
                <w:sz w:val="21"/>
                <w:szCs w:val="21"/>
              </w:rPr>
              <w:t>水路</w:t>
            </w:r>
            <w:r>
              <w:rPr>
                <w:rFonts w:eastAsia="方正书宋_GBK"/>
                <w:sz w:val="21"/>
                <w:szCs w:val="21"/>
              </w:rPr>
              <w:t>运输量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江北新区管委会</w:t>
            </w:r>
          </w:p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各区政府和市各有关直属单位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86" w:type="dxa"/>
            <w:gridSpan w:val="10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方正书宋_GBK"/>
                <w:b/>
                <w:sz w:val="21"/>
                <w:szCs w:val="21"/>
              </w:rPr>
            </w:pPr>
            <w:r>
              <w:rPr>
                <w:rFonts w:hint="eastAsia" w:eastAsia="方正书宋_GBK"/>
                <w:b/>
                <w:sz w:val="21"/>
                <w:szCs w:val="21"/>
              </w:rPr>
              <w:t>二、全市运输结构调整联席会议成员</w:t>
            </w:r>
            <w:r>
              <w:rPr>
                <w:rFonts w:eastAsia="方正书宋_GBK"/>
                <w:b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20</w:t>
            </w:r>
          </w:p>
        </w:tc>
        <w:tc>
          <w:tcPr>
            <w:tcW w:w="1877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铁路货运量</w:t>
            </w:r>
          </w:p>
        </w:tc>
        <w:tc>
          <w:tcPr>
            <w:tcW w:w="397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铁路货运总量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—</w:t>
            </w: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南京铁路货运中心</w:t>
            </w:r>
          </w:p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江北新区管委会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21</w:t>
            </w:r>
          </w:p>
        </w:tc>
        <w:tc>
          <w:tcPr>
            <w:tcW w:w="187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97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其中：国家铁路货运量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—</w:t>
            </w: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22</w:t>
            </w:r>
          </w:p>
        </w:tc>
        <w:tc>
          <w:tcPr>
            <w:tcW w:w="187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97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 xml:space="preserve">      国家能源投资集团铁路货运量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—</w:t>
            </w: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23</w:t>
            </w:r>
          </w:p>
        </w:tc>
        <w:tc>
          <w:tcPr>
            <w:tcW w:w="187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97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 xml:space="preserve">      其他铁路货运量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—</w:t>
            </w: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24</w:t>
            </w:r>
          </w:p>
        </w:tc>
        <w:tc>
          <w:tcPr>
            <w:tcW w:w="1877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重点企业铁路</w:t>
            </w:r>
            <w:r>
              <w:rPr>
                <w:rFonts w:eastAsia="方正书宋_GBK"/>
                <w:sz w:val="21"/>
                <w:szCs w:val="21"/>
              </w:rPr>
              <w:t>货物发送量</w:t>
            </w:r>
          </w:p>
        </w:tc>
        <w:tc>
          <w:tcPr>
            <w:tcW w:w="397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南京港集团有限公司（新生圩港区）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—</w:t>
            </w: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南京铁路货运中心</w:t>
            </w:r>
          </w:p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江北新区管委会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25</w:t>
            </w:r>
          </w:p>
        </w:tc>
        <w:tc>
          <w:tcPr>
            <w:tcW w:w="187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97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中国石油化工股份有限公司金陵分公司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—</w:t>
            </w: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26</w:t>
            </w:r>
          </w:p>
        </w:tc>
        <w:tc>
          <w:tcPr>
            <w:tcW w:w="187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97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江苏金翔石油化工有限公司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—</w:t>
            </w: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27</w:t>
            </w:r>
          </w:p>
        </w:tc>
        <w:tc>
          <w:tcPr>
            <w:tcW w:w="187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97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中国石化集团金陵石化有限公司烷基苯厂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—</w:t>
            </w: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28</w:t>
            </w:r>
          </w:p>
        </w:tc>
        <w:tc>
          <w:tcPr>
            <w:tcW w:w="187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97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南京西坝码头有限公司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—</w:t>
            </w: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29</w:t>
            </w:r>
          </w:p>
        </w:tc>
        <w:tc>
          <w:tcPr>
            <w:tcW w:w="187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97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中国石化扬子石油化工有限公司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—</w:t>
            </w: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30</w:t>
            </w:r>
          </w:p>
        </w:tc>
        <w:tc>
          <w:tcPr>
            <w:tcW w:w="187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97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南京钢铁股份有限公司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—</w:t>
            </w: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31</w:t>
            </w:r>
          </w:p>
        </w:tc>
        <w:tc>
          <w:tcPr>
            <w:tcW w:w="1877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97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梅山钢铁股份有限公司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—</w:t>
            </w: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32</w:t>
            </w: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水路货运量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—</w:t>
            </w: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市交通运输局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33</w:t>
            </w: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南京港集装箱吞吐量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万TEU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南京港集团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34</w:t>
            </w: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集装箱公铁联运量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万TEU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南京铁路货运中心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35</w:t>
            </w: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集装箱铁水联运量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万TEU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南京港集团、南京西坝码头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36</w:t>
            </w: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港口</w:t>
            </w:r>
            <w:r>
              <w:rPr>
                <w:rFonts w:eastAsia="方正书宋_GBK"/>
                <w:sz w:val="21"/>
                <w:szCs w:val="21"/>
              </w:rPr>
              <w:t>滚装汽车吞吐量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</w:t>
            </w:r>
            <w:r>
              <w:rPr>
                <w:rFonts w:hint="eastAsia" w:eastAsia="方正书宋_GBK"/>
                <w:sz w:val="21"/>
                <w:szCs w:val="21"/>
              </w:rPr>
              <w:t>辆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南京港集团、南京西坝码头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37</w:t>
            </w: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港口</w:t>
            </w:r>
            <w:r>
              <w:rPr>
                <w:rFonts w:eastAsia="方正书宋_GBK"/>
                <w:sz w:val="21"/>
                <w:szCs w:val="21"/>
              </w:rPr>
              <w:t>滚装汽车</w:t>
            </w:r>
            <w:r>
              <w:rPr>
                <w:rFonts w:hint="eastAsia" w:eastAsia="方正书宋_GBK"/>
                <w:sz w:val="21"/>
                <w:szCs w:val="21"/>
              </w:rPr>
              <w:t>进港</w:t>
            </w:r>
            <w:r>
              <w:rPr>
                <w:rFonts w:eastAsia="方正书宋_GBK"/>
                <w:sz w:val="21"/>
                <w:szCs w:val="21"/>
              </w:rPr>
              <w:t>量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</w:t>
            </w:r>
            <w:r>
              <w:rPr>
                <w:rFonts w:hint="eastAsia" w:eastAsia="方正书宋_GBK"/>
                <w:sz w:val="21"/>
                <w:szCs w:val="21"/>
              </w:rPr>
              <w:t>辆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南京港集团、南京西坝码头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38</w:t>
            </w: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港口</w:t>
            </w:r>
            <w:r>
              <w:rPr>
                <w:rFonts w:eastAsia="方正书宋_GBK"/>
                <w:sz w:val="21"/>
                <w:szCs w:val="21"/>
              </w:rPr>
              <w:t>滚装汽车</w:t>
            </w:r>
            <w:r>
              <w:rPr>
                <w:rFonts w:hint="eastAsia" w:eastAsia="方正书宋_GBK"/>
                <w:sz w:val="21"/>
                <w:szCs w:val="21"/>
              </w:rPr>
              <w:t>出港</w:t>
            </w:r>
            <w:r>
              <w:rPr>
                <w:rFonts w:eastAsia="方正书宋_GBK"/>
                <w:sz w:val="21"/>
                <w:szCs w:val="21"/>
              </w:rPr>
              <w:t>量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</w:t>
            </w:r>
            <w:r>
              <w:rPr>
                <w:rFonts w:hint="eastAsia" w:eastAsia="方正书宋_GBK"/>
                <w:sz w:val="21"/>
                <w:szCs w:val="21"/>
              </w:rPr>
              <w:t>辆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南京港集团、南京西坝码头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39</w:t>
            </w: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南京港</w:t>
            </w:r>
            <w:r>
              <w:rPr>
                <w:rFonts w:eastAsia="方正书宋_GBK"/>
                <w:sz w:val="21"/>
                <w:szCs w:val="21"/>
              </w:rPr>
              <w:t>大宗货物公路</w:t>
            </w:r>
            <w:r>
              <w:rPr>
                <w:rFonts w:hint="eastAsia" w:eastAsia="方正书宋_GBK"/>
                <w:sz w:val="21"/>
                <w:szCs w:val="21"/>
              </w:rPr>
              <w:t>集运</w:t>
            </w:r>
            <w:r>
              <w:rPr>
                <w:rFonts w:eastAsia="方正书宋_GBK"/>
                <w:sz w:val="21"/>
                <w:szCs w:val="21"/>
              </w:rPr>
              <w:t>量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南京港集团、南京西坝码头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 xml:space="preserve">  其中</w:t>
            </w:r>
            <w:r>
              <w:rPr>
                <w:rFonts w:eastAsia="方正书宋_GBK"/>
                <w:sz w:val="21"/>
                <w:szCs w:val="21"/>
              </w:rPr>
              <w:t>：煤炭</w:t>
            </w:r>
            <w:r>
              <w:rPr>
                <w:rFonts w:hint="eastAsia" w:eastAsia="方正书宋_GBK"/>
                <w:sz w:val="21"/>
                <w:szCs w:val="21"/>
              </w:rPr>
              <w:t>及</w:t>
            </w:r>
            <w:r>
              <w:rPr>
                <w:rFonts w:eastAsia="方正书宋_GBK"/>
                <w:sz w:val="21"/>
                <w:szCs w:val="21"/>
              </w:rPr>
              <w:t>焦炭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ind w:firstLine="840" w:firstLineChars="400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金属</w:t>
            </w:r>
            <w:r>
              <w:rPr>
                <w:rFonts w:eastAsia="方正书宋_GBK"/>
                <w:sz w:val="21"/>
                <w:szCs w:val="21"/>
              </w:rPr>
              <w:t>矿石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ind w:firstLine="840" w:firstLineChars="400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非金属</w:t>
            </w:r>
            <w:r>
              <w:rPr>
                <w:rFonts w:eastAsia="方正书宋_GBK"/>
                <w:sz w:val="21"/>
                <w:szCs w:val="21"/>
              </w:rPr>
              <w:t>矿石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ind w:firstLine="840" w:firstLineChars="400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钢铁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ind w:firstLine="840" w:firstLineChars="400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粮食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40</w:t>
            </w: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南京港</w:t>
            </w:r>
            <w:r>
              <w:rPr>
                <w:rFonts w:eastAsia="方正书宋_GBK"/>
                <w:sz w:val="21"/>
                <w:szCs w:val="21"/>
              </w:rPr>
              <w:t>大宗货物</w:t>
            </w:r>
            <w:r>
              <w:rPr>
                <w:rFonts w:hint="eastAsia" w:eastAsia="方正书宋_GBK"/>
                <w:sz w:val="21"/>
                <w:szCs w:val="21"/>
              </w:rPr>
              <w:t>公路疏</w:t>
            </w:r>
            <w:r>
              <w:rPr>
                <w:rFonts w:eastAsia="方正书宋_GBK"/>
                <w:sz w:val="21"/>
                <w:szCs w:val="21"/>
              </w:rPr>
              <w:t>运量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南京港集团、南京西坝码头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 xml:space="preserve">  其中</w:t>
            </w:r>
            <w:r>
              <w:rPr>
                <w:rFonts w:eastAsia="方正书宋_GBK"/>
                <w:sz w:val="21"/>
                <w:szCs w:val="21"/>
              </w:rPr>
              <w:t>：煤炭</w:t>
            </w:r>
            <w:r>
              <w:rPr>
                <w:rFonts w:hint="eastAsia" w:eastAsia="方正书宋_GBK"/>
                <w:sz w:val="21"/>
                <w:szCs w:val="21"/>
              </w:rPr>
              <w:t>及</w:t>
            </w:r>
            <w:r>
              <w:rPr>
                <w:rFonts w:eastAsia="方正书宋_GBK"/>
                <w:sz w:val="21"/>
                <w:szCs w:val="21"/>
              </w:rPr>
              <w:t>焦炭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金属</w:t>
            </w:r>
            <w:r>
              <w:rPr>
                <w:rFonts w:eastAsia="方正书宋_GBK"/>
                <w:sz w:val="21"/>
                <w:szCs w:val="21"/>
              </w:rPr>
              <w:t>矿石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非金属</w:t>
            </w:r>
            <w:r>
              <w:rPr>
                <w:rFonts w:eastAsia="方正书宋_GBK"/>
                <w:sz w:val="21"/>
                <w:szCs w:val="21"/>
              </w:rPr>
              <w:t>矿石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钢铁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粮食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41</w:t>
            </w: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南京港</w:t>
            </w:r>
            <w:r>
              <w:rPr>
                <w:rFonts w:eastAsia="方正书宋_GBK"/>
                <w:sz w:val="21"/>
                <w:szCs w:val="21"/>
              </w:rPr>
              <w:t>大宗货物</w:t>
            </w:r>
            <w:r>
              <w:rPr>
                <w:rFonts w:hint="eastAsia" w:eastAsia="方正书宋_GBK"/>
                <w:sz w:val="21"/>
                <w:szCs w:val="21"/>
              </w:rPr>
              <w:t>铁路集运量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南京港集团、南京西坝码头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 xml:space="preserve">  其中</w:t>
            </w:r>
            <w:r>
              <w:rPr>
                <w:rFonts w:eastAsia="方正书宋_GBK"/>
                <w:sz w:val="21"/>
                <w:szCs w:val="21"/>
              </w:rPr>
              <w:t>：煤炭</w:t>
            </w:r>
            <w:r>
              <w:rPr>
                <w:rFonts w:hint="eastAsia" w:eastAsia="方正书宋_GBK"/>
                <w:sz w:val="21"/>
                <w:szCs w:val="21"/>
              </w:rPr>
              <w:t>及</w:t>
            </w:r>
            <w:r>
              <w:rPr>
                <w:rFonts w:eastAsia="方正书宋_GBK"/>
                <w:sz w:val="21"/>
                <w:szCs w:val="21"/>
              </w:rPr>
              <w:t>焦炭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ind w:firstLine="840" w:firstLineChars="400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金属</w:t>
            </w:r>
            <w:r>
              <w:rPr>
                <w:rFonts w:eastAsia="方正书宋_GBK"/>
                <w:sz w:val="21"/>
                <w:szCs w:val="21"/>
              </w:rPr>
              <w:t>矿石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ind w:firstLine="840" w:firstLineChars="400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非金属</w:t>
            </w:r>
            <w:r>
              <w:rPr>
                <w:rFonts w:eastAsia="方正书宋_GBK"/>
                <w:sz w:val="21"/>
                <w:szCs w:val="21"/>
              </w:rPr>
              <w:t>矿石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41</w:t>
            </w: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ind w:firstLine="840" w:firstLineChars="400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钢铁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南京港集团、南京西坝码头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ind w:firstLine="840" w:firstLineChars="400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粮食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42</w:t>
            </w: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南京港大宗货物</w:t>
            </w:r>
            <w:r>
              <w:rPr>
                <w:rFonts w:eastAsia="方正书宋_GBK"/>
                <w:sz w:val="21"/>
                <w:szCs w:val="21"/>
              </w:rPr>
              <w:t>铁路疏运量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南京港集团、南京西坝码头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 xml:space="preserve">  其中</w:t>
            </w:r>
            <w:r>
              <w:rPr>
                <w:rFonts w:eastAsia="方正书宋_GBK"/>
                <w:sz w:val="21"/>
                <w:szCs w:val="21"/>
              </w:rPr>
              <w:t>：煤炭</w:t>
            </w:r>
            <w:r>
              <w:rPr>
                <w:rFonts w:hint="eastAsia" w:eastAsia="方正书宋_GBK"/>
                <w:sz w:val="21"/>
                <w:szCs w:val="21"/>
              </w:rPr>
              <w:t>及</w:t>
            </w:r>
            <w:r>
              <w:rPr>
                <w:rFonts w:eastAsia="方正书宋_GBK"/>
                <w:sz w:val="21"/>
                <w:szCs w:val="21"/>
              </w:rPr>
              <w:t>焦炭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ind w:firstLine="840" w:firstLineChars="400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金属</w:t>
            </w:r>
            <w:r>
              <w:rPr>
                <w:rFonts w:eastAsia="方正书宋_GBK"/>
                <w:sz w:val="21"/>
                <w:szCs w:val="21"/>
              </w:rPr>
              <w:t>矿石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ind w:firstLine="840" w:firstLineChars="400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非金属</w:t>
            </w:r>
            <w:r>
              <w:rPr>
                <w:rFonts w:eastAsia="方正书宋_GBK"/>
                <w:sz w:val="21"/>
                <w:szCs w:val="21"/>
              </w:rPr>
              <w:t>矿石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ind w:firstLine="840" w:firstLineChars="400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钢铁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ind w:firstLine="840" w:firstLineChars="400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粮食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43</w:t>
            </w: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南京港大宗货物</w:t>
            </w:r>
            <w:r>
              <w:rPr>
                <w:rFonts w:eastAsia="方正书宋_GBK"/>
                <w:sz w:val="21"/>
                <w:szCs w:val="21"/>
              </w:rPr>
              <w:t>水路</w:t>
            </w:r>
            <w:r>
              <w:rPr>
                <w:rFonts w:hint="eastAsia" w:eastAsia="方正书宋_GBK"/>
                <w:sz w:val="21"/>
                <w:szCs w:val="21"/>
              </w:rPr>
              <w:t>集运量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南京港集团、南京西坝码头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 xml:space="preserve">  其中</w:t>
            </w:r>
            <w:r>
              <w:rPr>
                <w:rFonts w:eastAsia="方正书宋_GBK"/>
                <w:sz w:val="21"/>
                <w:szCs w:val="21"/>
              </w:rPr>
              <w:t>：煤炭</w:t>
            </w:r>
            <w:r>
              <w:rPr>
                <w:rFonts w:hint="eastAsia" w:eastAsia="方正书宋_GBK"/>
                <w:sz w:val="21"/>
                <w:szCs w:val="21"/>
              </w:rPr>
              <w:t>及</w:t>
            </w:r>
            <w:r>
              <w:rPr>
                <w:rFonts w:eastAsia="方正书宋_GBK"/>
                <w:sz w:val="21"/>
                <w:szCs w:val="21"/>
              </w:rPr>
              <w:t>焦炭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ind w:firstLine="840" w:firstLineChars="400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金属</w:t>
            </w:r>
            <w:r>
              <w:rPr>
                <w:rFonts w:eastAsia="方正书宋_GBK"/>
                <w:sz w:val="21"/>
                <w:szCs w:val="21"/>
              </w:rPr>
              <w:t>矿石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ind w:firstLine="840" w:firstLineChars="400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非金属</w:t>
            </w:r>
            <w:r>
              <w:rPr>
                <w:rFonts w:eastAsia="方正书宋_GBK"/>
                <w:sz w:val="21"/>
                <w:szCs w:val="21"/>
              </w:rPr>
              <w:t>矿石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ind w:firstLine="840" w:firstLineChars="400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钢铁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ind w:firstLine="840" w:firstLineChars="400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粮食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restart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4</w:t>
            </w:r>
            <w:r>
              <w:rPr>
                <w:rFonts w:eastAsia="方正书宋_GBK"/>
                <w:sz w:val="21"/>
                <w:szCs w:val="21"/>
              </w:rPr>
              <w:t>4</w:t>
            </w: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南京港大宗货物水路</w:t>
            </w:r>
            <w:r>
              <w:rPr>
                <w:rFonts w:eastAsia="方正书宋_GBK"/>
                <w:sz w:val="21"/>
                <w:szCs w:val="21"/>
              </w:rPr>
              <w:t>疏运量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南京港集团、南京西坝码头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 xml:space="preserve">  其中</w:t>
            </w:r>
            <w:r>
              <w:rPr>
                <w:rFonts w:eastAsia="方正书宋_GBK"/>
                <w:sz w:val="21"/>
                <w:szCs w:val="21"/>
              </w:rPr>
              <w:t>：煤炭</w:t>
            </w:r>
            <w:r>
              <w:rPr>
                <w:rFonts w:hint="eastAsia" w:eastAsia="方正书宋_GBK"/>
                <w:sz w:val="21"/>
                <w:szCs w:val="21"/>
              </w:rPr>
              <w:t>及</w:t>
            </w:r>
            <w:r>
              <w:rPr>
                <w:rFonts w:eastAsia="方正书宋_GBK"/>
                <w:sz w:val="21"/>
                <w:szCs w:val="21"/>
              </w:rPr>
              <w:t>焦炭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ind w:firstLine="840" w:firstLineChars="400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金属</w:t>
            </w:r>
            <w:r>
              <w:rPr>
                <w:rFonts w:eastAsia="方正书宋_GBK"/>
                <w:sz w:val="21"/>
                <w:szCs w:val="21"/>
              </w:rPr>
              <w:t>矿石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ind w:firstLine="840" w:firstLineChars="400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非金属</w:t>
            </w:r>
            <w:r>
              <w:rPr>
                <w:rFonts w:eastAsia="方正书宋_GBK"/>
                <w:sz w:val="21"/>
                <w:szCs w:val="21"/>
              </w:rPr>
              <w:t>矿石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ind w:firstLine="840" w:firstLineChars="400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钢铁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2" w:type="dxa"/>
            <w:vMerge w:val="continue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5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ind w:firstLine="840" w:firstLineChars="400"/>
              <w:rPr>
                <w:rFonts w:hint="eastAsia" w:eastAsia="方正书宋_GBK"/>
                <w:sz w:val="21"/>
                <w:szCs w:val="21"/>
              </w:rPr>
            </w:pPr>
            <w:r>
              <w:rPr>
                <w:rFonts w:hint="eastAsia" w:eastAsia="方正书宋_GBK"/>
                <w:sz w:val="21"/>
                <w:szCs w:val="21"/>
              </w:rPr>
              <w:t>粮食</w:t>
            </w:r>
          </w:p>
        </w:tc>
        <w:tc>
          <w:tcPr>
            <w:tcW w:w="658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  <w:r>
              <w:rPr>
                <w:rFonts w:eastAsia="方正书宋_GBK"/>
                <w:sz w:val="21"/>
                <w:szCs w:val="21"/>
              </w:rPr>
              <w:t>万吨</w:t>
            </w:r>
          </w:p>
        </w:tc>
        <w:tc>
          <w:tcPr>
            <w:tcW w:w="854" w:type="dxa"/>
            <w:gridSpan w:val="2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302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方正书宋_GBK"/>
                <w:sz w:val="21"/>
                <w:szCs w:val="21"/>
              </w:rPr>
            </w:pPr>
          </w:p>
        </w:tc>
      </w:tr>
    </w:tbl>
    <w:p>
      <w:pPr>
        <w:ind w:firstLine="1680" w:firstLineChars="800"/>
        <w:jc w:val="left"/>
      </w:pPr>
      <w:r>
        <w:rPr>
          <w:rFonts w:hint="eastAsia" w:eastAsia="方正书宋_GBK"/>
          <w:sz w:val="21"/>
          <w:szCs w:val="21"/>
        </w:rPr>
        <w:t>备注：每</w:t>
      </w:r>
      <w:r>
        <w:rPr>
          <w:rFonts w:eastAsia="方正书宋_GBK"/>
          <w:sz w:val="21"/>
          <w:szCs w:val="21"/>
        </w:rPr>
        <w:t>季</w:t>
      </w:r>
      <w:r>
        <w:rPr>
          <w:rFonts w:hint="eastAsia" w:eastAsia="方正书宋_GBK"/>
          <w:sz w:val="21"/>
          <w:szCs w:val="21"/>
        </w:rPr>
        <w:t>度</w:t>
      </w:r>
      <w:r>
        <w:rPr>
          <w:rFonts w:eastAsia="方正书宋_GBK"/>
          <w:sz w:val="21"/>
          <w:szCs w:val="21"/>
        </w:rPr>
        <w:t>结束后5</w:t>
      </w:r>
      <w:r>
        <w:rPr>
          <w:rFonts w:hint="eastAsia" w:eastAsia="方正书宋_GBK"/>
          <w:sz w:val="21"/>
          <w:szCs w:val="21"/>
        </w:rPr>
        <w:t>个工作日内报送至：ysjgtzgz@163.com。</w:t>
      </w:r>
    </w:p>
    <w:sectPr>
      <w:pgSz w:w="20863" w:h="14740" w:orient="landscape"/>
      <w:pgMar w:top="1803" w:right="1440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D2BF4"/>
    <w:rsid w:val="7C3D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2019-08-08T08:57:00Z</dcterms:created>
  <dc:creator>Back to Tomorrow</dc:creator>
  <cp:lastModifiedBy>Back to Tomorrow</cp:lastModifiedBy>
  <dcterms:modified xsi:type="dcterms:W3CDTF">2019-08-08T09:00:34Z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