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BCA" w:rsidRPr="00951F50" w:rsidRDefault="00673BCA" w:rsidP="00673BCA">
      <w:pPr>
        <w:rPr>
          <w:rFonts w:ascii="方正黑体_GBK" w:eastAsia="方正黑体_GBK" w:hint="eastAsia"/>
          <w:sz w:val="32"/>
          <w:szCs w:val="32"/>
        </w:rPr>
      </w:pPr>
      <w:r w:rsidRPr="00951F50">
        <w:rPr>
          <w:rFonts w:ascii="方正黑体_GBK" w:eastAsia="方正黑体_GBK" w:hint="eastAsia"/>
          <w:sz w:val="32"/>
          <w:szCs w:val="32"/>
        </w:rPr>
        <w:t>附件</w:t>
      </w:r>
      <w:r w:rsidRPr="00951F50">
        <w:rPr>
          <w:rFonts w:ascii="方正黑体_GBK" w:eastAsia="方正黑体_GBK"/>
          <w:sz w:val="32"/>
          <w:szCs w:val="32"/>
        </w:rPr>
        <w:t>3</w:t>
      </w:r>
    </w:p>
    <w:p w:rsidR="00673BCA" w:rsidRPr="00951F50" w:rsidRDefault="00673BCA" w:rsidP="00673BCA">
      <w:pPr>
        <w:jc w:val="center"/>
        <w:rPr>
          <w:rFonts w:ascii="方正小标宋_GBK" w:eastAsia="方正小标宋_GBK" w:hint="eastAsia"/>
          <w:sz w:val="44"/>
          <w:szCs w:val="44"/>
        </w:rPr>
      </w:pPr>
      <w:r w:rsidRPr="00951F50">
        <w:rPr>
          <w:rFonts w:ascii="方正小标宋_GBK" w:eastAsia="方正小标宋_GBK" w:hint="eastAsia"/>
          <w:sz w:val="44"/>
          <w:szCs w:val="44"/>
        </w:rPr>
        <w:t>中央层面设定的涉企经营许可事项改革清单（2021年自贸</w:t>
      </w:r>
      <w:bookmarkStart w:id="0" w:name="_GoBack"/>
      <w:bookmarkEnd w:id="0"/>
      <w:r w:rsidRPr="00951F50">
        <w:rPr>
          <w:rFonts w:ascii="方正小标宋_GBK" w:eastAsia="方正小标宋_GBK" w:hint="eastAsia"/>
          <w:sz w:val="44"/>
          <w:szCs w:val="44"/>
        </w:rPr>
        <w:t>试验区南京版）</w:t>
      </w:r>
    </w:p>
    <w:p w:rsidR="00673BCA" w:rsidRPr="00951F50" w:rsidRDefault="00673BCA" w:rsidP="00673BCA">
      <w:pPr>
        <w:jc w:val="center"/>
        <w:rPr>
          <w:rFonts w:ascii="方正楷体_GBK" w:eastAsia="方正楷体_GBK" w:hint="eastAsia"/>
          <w:sz w:val="32"/>
          <w:szCs w:val="32"/>
        </w:rPr>
      </w:pPr>
      <w:r w:rsidRPr="00951F50">
        <w:rPr>
          <w:rFonts w:ascii="方正楷体_GBK" w:eastAsia="方正楷体_GBK" w:hint="eastAsia"/>
          <w:sz w:val="32"/>
          <w:szCs w:val="32"/>
        </w:rPr>
        <w:t>（共33项）</w:t>
      </w:r>
    </w:p>
    <w:tbl>
      <w:tblPr>
        <w:tblW w:w="507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
        <w:gridCol w:w="1065"/>
        <w:gridCol w:w="1065"/>
        <w:gridCol w:w="1257"/>
        <w:gridCol w:w="1035"/>
        <w:gridCol w:w="1360"/>
        <w:gridCol w:w="1212"/>
        <w:gridCol w:w="584"/>
        <w:gridCol w:w="584"/>
        <w:gridCol w:w="584"/>
        <w:gridCol w:w="584"/>
        <w:gridCol w:w="2322"/>
        <w:gridCol w:w="3580"/>
        <w:gridCol w:w="142"/>
      </w:tblGrid>
      <w:tr w:rsidR="00673BCA" w:rsidRPr="00951F50" w:rsidTr="00372E1E">
        <w:trPr>
          <w:gridAfter w:val="1"/>
          <w:wAfter w:w="134" w:type="dxa"/>
          <w:cantSplit/>
          <w:tblHeader/>
        </w:trPr>
        <w:tc>
          <w:tcPr>
            <w:tcW w:w="337" w:type="dxa"/>
            <w:vMerge w:val="restart"/>
            <w:shd w:val="clear" w:color="000000" w:fill="FFFFFF"/>
            <w:tcMar>
              <w:left w:w="57" w:type="dxa"/>
              <w:right w:w="57" w:type="dxa"/>
            </w:tcMar>
            <w:vAlign w:val="center"/>
          </w:tcPr>
          <w:p w:rsidR="00673BCA" w:rsidRPr="00951F50" w:rsidRDefault="00673BCA" w:rsidP="00372E1E">
            <w:pPr>
              <w:jc w:val="center"/>
              <w:rPr>
                <w:rFonts w:eastAsia="方正黑体_GBK"/>
                <w:spacing w:val="-4"/>
                <w:sz w:val="21"/>
                <w:szCs w:val="21"/>
              </w:rPr>
            </w:pPr>
            <w:r w:rsidRPr="00951F50">
              <w:rPr>
                <w:rFonts w:eastAsia="方正黑体_GBK"/>
                <w:spacing w:val="-4"/>
                <w:sz w:val="21"/>
                <w:szCs w:val="21"/>
              </w:rPr>
              <w:t>序号</w:t>
            </w:r>
          </w:p>
        </w:tc>
        <w:tc>
          <w:tcPr>
            <w:tcW w:w="1008" w:type="dxa"/>
            <w:vMerge w:val="restart"/>
            <w:shd w:val="clear" w:color="000000" w:fill="FFFFFF"/>
            <w:tcMar>
              <w:left w:w="57" w:type="dxa"/>
              <w:right w:w="57" w:type="dxa"/>
            </w:tcMar>
            <w:vAlign w:val="center"/>
          </w:tcPr>
          <w:p w:rsidR="00673BCA" w:rsidRPr="00951F50" w:rsidRDefault="00673BCA" w:rsidP="00372E1E">
            <w:pPr>
              <w:rPr>
                <w:rFonts w:eastAsia="方正黑体_GBK" w:hint="eastAsia"/>
                <w:spacing w:val="-4"/>
                <w:sz w:val="21"/>
                <w:szCs w:val="21"/>
              </w:rPr>
            </w:pPr>
            <w:r w:rsidRPr="00951F50">
              <w:rPr>
                <w:rFonts w:eastAsia="方正黑体_GBK" w:hint="eastAsia"/>
                <w:spacing w:val="-4"/>
                <w:sz w:val="21"/>
                <w:szCs w:val="21"/>
              </w:rPr>
              <w:t>主管部门</w:t>
            </w:r>
          </w:p>
        </w:tc>
        <w:tc>
          <w:tcPr>
            <w:tcW w:w="1008" w:type="dxa"/>
            <w:vMerge w:val="restart"/>
            <w:shd w:val="clear" w:color="000000" w:fill="FFFFFF"/>
            <w:tcMar>
              <w:left w:w="57" w:type="dxa"/>
              <w:right w:w="57" w:type="dxa"/>
            </w:tcMar>
            <w:vAlign w:val="center"/>
          </w:tcPr>
          <w:p w:rsidR="00673BCA" w:rsidRPr="00951F50" w:rsidRDefault="00673BCA" w:rsidP="00372E1E">
            <w:pPr>
              <w:rPr>
                <w:rFonts w:eastAsia="方正黑体_GBK" w:hint="eastAsia"/>
                <w:spacing w:val="-4"/>
                <w:sz w:val="21"/>
                <w:szCs w:val="21"/>
              </w:rPr>
            </w:pPr>
            <w:r w:rsidRPr="00951F50">
              <w:rPr>
                <w:rFonts w:eastAsia="方正黑体_GBK" w:hint="eastAsia"/>
                <w:spacing w:val="-4"/>
                <w:sz w:val="21"/>
                <w:szCs w:val="21"/>
              </w:rPr>
              <w:t>省级主管部门</w:t>
            </w:r>
          </w:p>
        </w:tc>
        <w:tc>
          <w:tcPr>
            <w:tcW w:w="1190" w:type="dxa"/>
            <w:vMerge w:val="restart"/>
            <w:shd w:val="clear" w:color="000000" w:fill="FFFFFF"/>
            <w:tcMar>
              <w:left w:w="57" w:type="dxa"/>
              <w:right w:w="57" w:type="dxa"/>
            </w:tcMar>
            <w:vAlign w:val="center"/>
          </w:tcPr>
          <w:p w:rsidR="00673BCA" w:rsidRPr="00951F50" w:rsidRDefault="00673BCA" w:rsidP="00372E1E">
            <w:pPr>
              <w:rPr>
                <w:rFonts w:eastAsia="方正黑体_GBK" w:hint="eastAsia"/>
                <w:spacing w:val="-4"/>
                <w:sz w:val="21"/>
                <w:szCs w:val="21"/>
              </w:rPr>
            </w:pPr>
            <w:r w:rsidRPr="00951F50">
              <w:rPr>
                <w:rFonts w:eastAsia="方正黑体_GBK" w:hint="eastAsia"/>
                <w:spacing w:val="-4"/>
                <w:sz w:val="21"/>
                <w:szCs w:val="21"/>
              </w:rPr>
              <w:t>改革事项</w:t>
            </w:r>
          </w:p>
        </w:tc>
        <w:tc>
          <w:tcPr>
            <w:tcW w:w="980" w:type="dxa"/>
            <w:vMerge w:val="restart"/>
            <w:shd w:val="clear" w:color="000000" w:fill="FFFFFF"/>
            <w:tcMar>
              <w:left w:w="57" w:type="dxa"/>
              <w:right w:w="57" w:type="dxa"/>
            </w:tcMar>
            <w:vAlign w:val="center"/>
          </w:tcPr>
          <w:p w:rsidR="00673BCA" w:rsidRPr="00951F50" w:rsidRDefault="00673BCA" w:rsidP="00372E1E">
            <w:pPr>
              <w:rPr>
                <w:rFonts w:eastAsia="方正黑体_GBK" w:hint="eastAsia"/>
                <w:spacing w:val="-4"/>
                <w:sz w:val="21"/>
                <w:szCs w:val="21"/>
              </w:rPr>
            </w:pPr>
            <w:r w:rsidRPr="00951F50">
              <w:rPr>
                <w:rFonts w:eastAsia="方正黑体_GBK" w:hint="eastAsia"/>
                <w:spacing w:val="-4"/>
                <w:sz w:val="21"/>
                <w:szCs w:val="21"/>
              </w:rPr>
              <w:t>许可证件名称</w:t>
            </w:r>
          </w:p>
        </w:tc>
        <w:tc>
          <w:tcPr>
            <w:tcW w:w="1287" w:type="dxa"/>
            <w:vMerge w:val="restart"/>
            <w:shd w:val="clear" w:color="000000" w:fill="FFFFFF"/>
            <w:tcMar>
              <w:left w:w="57" w:type="dxa"/>
              <w:right w:w="57" w:type="dxa"/>
            </w:tcMar>
            <w:vAlign w:val="center"/>
          </w:tcPr>
          <w:p w:rsidR="00673BCA" w:rsidRPr="00951F50" w:rsidRDefault="00673BCA" w:rsidP="00372E1E">
            <w:pPr>
              <w:rPr>
                <w:rFonts w:eastAsia="方正黑体_GBK" w:hint="eastAsia"/>
                <w:spacing w:val="-4"/>
                <w:sz w:val="21"/>
                <w:szCs w:val="21"/>
              </w:rPr>
            </w:pPr>
            <w:r w:rsidRPr="00951F50">
              <w:rPr>
                <w:rFonts w:eastAsia="方正黑体_GBK" w:hint="eastAsia"/>
                <w:spacing w:val="-4"/>
                <w:sz w:val="21"/>
                <w:szCs w:val="21"/>
              </w:rPr>
              <w:t>设定依据</w:t>
            </w:r>
          </w:p>
        </w:tc>
        <w:tc>
          <w:tcPr>
            <w:tcW w:w="1147" w:type="dxa"/>
            <w:vMerge w:val="restart"/>
            <w:shd w:val="clear" w:color="000000" w:fill="FFFFFF"/>
            <w:tcMar>
              <w:left w:w="57" w:type="dxa"/>
              <w:right w:w="57" w:type="dxa"/>
            </w:tcMar>
            <w:vAlign w:val="center"/>
          </w:tcPr>
          <w:p w:rsidR="00673BCA" w:rsidRPr="00951F50" w:rsidRDefault="00673BCA" w:rsidP="00372E1E">
            <w:pPr>
              <w:rPr>
                <w:rFonts w:eastAsia="方正黑体_GBK" w:hint="eastAsia"/>
                <w:spacing w:val="-4"/>
                <w:sz w:val="21"/>
                <w:szCs w:val="21"/>
              </w:rPr>
            </w:pPr>
            <w:r w:rsidRPr="00951F50">
              <w:rPr>
                <w:rFonts w:eastAsia="方正黑体_GBK" w:hint="eastAsia"/>
                <w:spacing w:val="-4"/>
                <w:sz w:val="21"/>
                <w:szCs w:val="21"/>
              </w:rPr>
              <w:t>审批层级和部门</w:t>
            </w:r>
          </w:p>
        </w:tc>
        <w:tc>
          <w:tcPr>
            <w:tcW w:w="2212" w:type="dxa"/>
            <w:gridSpan w:val="4"/>
            <w:shd w:val="clear" w:color="000000" w:fill="FFFFFF"/>
            <w:tcMar>
              <w:left w:w="57" w:type="dxa"/>
              <w:right w:w="57" w:type="dxa"/>
            </w:tcMar>
            <w:vAlign w:val="center"/>
          </w:tcPr>
          <w:p w:rsidR="00673BCA" w:rsidRPr="00951F50" w:rsidRDefault="00673BCA" w:rsidP="00372E1E">
            <w:pPr>
              <w:jc w:val="center"/>
              <w:rPr>
                <w:rFonts w:eastAsia="方正黑体_GBK" w:hint="eastAsia"/>
                <w:spacing w:val="-4"/>
                <w:sz w:val="21"/>
                <w:szCs w:val="21"/>
              </w:rPr>
            </w:pPr>
            <w:r w:rsidRPr="00951F50">
              <w:rPr>
                <w:rFonts w:eastAsia="方正黑体_GBK" w:hint="eastAsia"/>
                <w:spacing w:val="-4"/>
                <w:sz w:val="21"/>
                <w:szCs w:val="21"/>
              </w:rPr>
              <w:t>改革方式</w:t>
            </w:r>
          </w:p>
        </w:tc>
        <w:tc>
          <w:tcPr>
            <w:tcW w:w="2198" w:type="dxa"/>
            <w:vMerge w:val="restart"/>
            <w:shd w:val="clear" w:color="000000" w:fill="FFFFFF"/>
            <w:tcMar>
              <w:left w:w="57" w:type="dxa"/>
              <w:right w:w="57" w:type="dxa"/>
            </w:tcMar>
            <w:vAlign w:val="center"/>
          </w:tcPr>
          <w:p w:rsidR="00673BCA" w:rsidRPr="00951F50" w:rsidRDefault="00673BCA" w:rsidP="00372E1E">
            <w:pPr>
              <w:rPr>
                <w:rFonts w:eastAsia="方正黑体_GBK" w:hint="eastAsia"/>
                <w:spacing w:val="-4"/>
                <w:sz w:val="21"/>
                <w:szCs w:val="21"/>
              </w:rPr>
            </w:pPr>
            <w:r w:rsidRPr="00951F50">
              <w:rPr>
                <w:rFonts w:eastAsia="方正黑体_GBK" w:hint="eastAsia"/>
                <w:spacing w:val="-4"/>
                <w:sz w:val="21"/>
                <w:szCs w:val="21"/>
              </w:rPr>
              <w:t>具体改革举措</w:t>
            </w:r>
          </w:p>
        </w:tc>
        <w:tc>
          <w:tcPr>
            <w:tcW w:w="3389" w:type="dxa"/>
            <w:vMerge w:val="restart"/>
            <w:shd w:val="clear" w:color="000000" w:fill="FFFFFF"/>
            <w:tcMar>
              <w:left w:w="57" w:type="dxa"/>
              <w:right w:w="57" w:type="dxa"/>
            </w:tcMar>
            <w:vAlign w:val="center"/>
          </w:tcPr>
          <w:p w:rsidR="00673BCA" w:rsidRPr="00951F50" w:rsidRDefault="00673BCA" w:rsidP="00372E1E">
            <w:pPr>
              <w:rPr>
                <w:rFonts w:eastAsia="方正黑体_GBK" w:hint="eastAsia"/>
                <w:spacing w:val="-4"/>
                <w:sz w:val="21"/>
                <w:szCs w:val="21"/>
              </w:rPr>
            </w:pPr>
            <w:r w:rsidRPr="00951F50">
              <w:rPr>
                <w:rFonts w:eastAsia="方正黑体_GBK" w:hint="eastAsia"/>
                <w:spacing w:val="-4"/>
                <w:sz w:val="21"/>
                <w:szCs w:val="21"/>
              </w:rPr>
              <w:t>加强事中事后监管措施</w:t>
            </w:r>
          </w:p>
        </w:tc>
      </w:tr>
      <w:tr w:rsidR="00673BCA" w:rsidRPr="00951F50" w:rsidTr="00372E1E">
        <w:trPr>
          <w:gridAfter w:val="1"/>
          <w:wAfter w:w="134" w:type="dxa"/>
          <w:cantSplit/>
          <w:tblHeader/>
        </w:trPr>
        <w:tc>
          <w:tcPr>
            <w:tcW w:w="337" w:type="dxa"/>
            <w:vMerge/>
            <w:shd w:val="clear" w:color="auto" w:fill="auto"/>
            <w:tcMar>
              <w:left w:w="57" w:type="dxa"/>
              <w:right w:w="57" w:type="dxa"/>
            </w:tcMar>
            <w:vAlign w:val="center"/>
          </w:tcPr>
          <w:p w:rsidR="00673BCA" w:rsidRPr="00951F50" w:rsidRDefault="00673BCA" w:rsidP="00372E1E">
            <w:pPr>
              <w:jc w:val="center"/>
              <w:rPr>
                <w:rFonts w:eastAsia="方正黑体_GBK"/>
                <w:spacing w:val="-4"/>
                <w:sz w:val="21"/>
                <w:szCs w:val="21"/>
              </w:rPr>
            </w:pPr>
          </w:p>
        </w:tc>
        <w:tc>
          <w:tcPr>
            <w:tcW w:w="1008" w:type="dxa"/>
            <w:vMerge/>
            <w:shd w:val="clear" w:color="auto" w:fill="auto"/>
            <w:tcMar>
              <w:left w:w="57" w:type="dxa"/>
              <w:right w:w="57" w:type="dxa"/>
            </w:tcMar>
            <w:vAlign w:val="center"/>
          </w:tcPr>
          <w:p w:rsidR="00673BCA" w:rsidRPr="00951F50" w:rsidRDefault="00673BCA" w:rsidP="00372E1E">
            <w:pPr>
              <w:rPr>
                <w:rFonts w:eastAsia="方正黑体_GBK"/>
                <w:spacing w:val="-4"/>
                <w:sz w:val="21"/>
                <w:szCs w:val="21"/>
              </w:rPr>
            </w:pPr>
          </w:p>
        </w:tc>
        <w:tc>
          <w:tcPr>
            <w:tcW w:w="1008" w:type="dxa"/>
            <w:vMerge/>
            <w:shd w:val="clear" w:color="auto" w:fill="auto"/>
            <w:tcMar>
              <w:left w:w="57" w:type="dxa"/>
              <w:right w:w="57" w:type="dxa"/>
            </w:tcMar>
            <w:vAlign w:val="center"/>
          </w:tcPr>
          <w:p w:rsidR="00673BCA" w:rsidRPr="00951F50" w:rsidRDefault="00673BCA" w:rsidP="00372E1E">
            <w:pPr>
              <w:rPr>
                <w:rFonts w:eastAsia="方正黑体_GBK"/>
                <w:spacing w:val="-4"/>
                <w:sz w:val="21"/>
                <w:szCs w:val="21"/>
              </w:rPr>
            </w:pPr>
          </w:p>
        </w:tc>
        <w:tc>
          <w:tcPr>
            <w:tcW w:w="1190" w:type="dxa"/>
            <w:vMerge/>
            <w:shd w:val="clear" w:color="auto" w:fill="auto"/>
            <w:tcMar>
              <w:left w:w="57" w:type="dxa"/>
              <w:right w:w="57" w:type="dxa"/>
            </w:tcMar>
            <w:vAlign w:val="center"/>
          </w:tcPr>
          <w:p w:rsidR="00673BCA" w:rsidRPr="00951F50" w:rsidRDefault="00673BCA" w:rsidP="00372E1E">
            <w:pPr>
              <w:rPr>
                <w:rFonts w:eastAsia="方正黑体_GBK"/>
                <w:spacing w:val="-4"/>
                <w:sz w:val="21"/>
                <w:szCs w:val="21"/>
              </w:rPr>
            </w:pPr>
          </w:p>
        </w:tc>
        <w:tc>
          <w:tcPr>
            <w:tcW w:w="980" w:type="dxa"/>
            <w:vMerge/>
            <w:shd w:val="clear" w:color="auto" w:fill="auto"/>
            <w:tcMar>
              <w:left w:w="57" w:type="dxa"/>
              <w:right w:w="57" w:type="dxa"/>
            </w:tcMar>
            <w:vAlign w:val="center"/>
          </w:tcPr>
          <w:p w:rsidR="00673BCA" w:rsidRPr="00951F50" w:rsidRDefault="00673BCA" w:rsidP="00372E1E">
            <w:pPr>
              <w:rPr>
                <w:rFonts w:eastAsia="方正黑体_GBK"/>
                <w:spacing w:val="-4"/>
                <w:sz w:val="21"/>
                <w:szCs w:val="21"/>
              </w:rPr>
            </w:pPr>
          </w:p>
        </w:tc>
        <w:tc>
          <w:tcPr>
            <w:tcW w:w="1287" w:type="dxa"/>
            <w:vMerge/>
            <w:shd w:val="clear" w:color="auto" w:fill="auto"/>
            <w:tcMar>
              <w:left w:w="57" w:type="dxa"/>
              <w:right w:w="57" w:type="dxa"/>
            </w:tcMar>
            <w:vAlign w:val="center"/>
          </w:tcPr>
          <w:p w:rsidR="00673BCA" w:rsidRPr="00951F50" w:rsidRDefault="00673BCA" w:rsidP="00372E1E">
            <w:pPr>
              <w:rPr>
                <w:rFonts w:eastAsia="方正黑体_GBK"/>
                <w:spacing w:val="-4"/>
                <w:sz w:val="21"/>
                <w:szCs w:val="21"/>
              </w:rPr>
            </w:pPr>
          </w:p>
        </w:tc>
        <w:tc>
          <w:tcPr>
            <w:tcW w:w="1147" w:type="dxa"/>
            <w:vMerge/>
            <w:shd w:val="clear" w:color="auto" w:fill="auto"/>
            <w:tcMar>
              <w:left w:w="57" w:type="dxa"/>
              <w:right w:w="57" w:type="dxa"/>
            </w:tcMar>
            <w:vAlign w:val="center"/>
          </w:tcPr>
          <w:p w:rsidR="00673BCA" w:rsidRPr="00951F50" w:rsidRDefault="00673BCA" w:rsidP="00372E1E">
            <w:pPr>
              <w:rPr>
                <w:rFonts w:eastAsia="方正黑体_GBK"/>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黑体_GBK" w:hint="eastAsia"/>
                <w:spacing w:val="-4"/>
                <w:sz w:val="21"/>
                <w:szCs w:val="21"/>
              </w:rPr>
            </w:pPr>
            <w:r w:rsidRPr="00951F50">
              <w:rPr>
                <w:rFonts w:eastAsia="方正黑体_GBK" w:hint="eastAsia"/>
                <w:spacing w:val="-4"/>
                <w:sz w:val="21"/>
                <w:szCs w:val="21"/>
              </w:rPr>
              <w:t>直接取消审批</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黑体_GBK" w:hint="eastAsia"/>
                <w:spacing w:val="-4"/>
                <w:sz w:val="21"/>
                <w:szCs w:val="21"/>
              </w:rPr>
            </w:pPr>
            <w:r w:rsidRPr="00951F50">
              <w:rPr>
                <w:rFonts w:eastAsia="方正黑体_GBK" w:hint="eastAsia"/>
                <w:spacing w:val="-4"/>
                <w:sz w:val="21"/>
                <w:szCs w:val="21"/>
              </w:rPr>
              <w:t>审批改为备案</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黑体_GBK" w:hint="eastAsia"/>
                <w:spacing w:val="-4"/>
                <w:sz w:val="21"/>
                <w:szCs w:val="21"/>
              </w:rPr>
            </w:pPr>
            <w:r w:rsidRPr="00951F50">
              <w:rPr>
                <w:rFonts w:eastAsia="方正黑体_GBK" w:hint="eastAsia"/>
                <w:spacing w:val="-4"/>
                <w:sz w:val="21"/>
                <w:szCs w:val="21"/>
              </w:rPr>
              <w:t>实行告知承诺</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黑体_GBK" w:hint="eastAsia"/>
                <w:spacing w:val="-4"/>
                <w:sz w:val="21"/>
                <w:szCs w:val="21"/>
              </w:rPr>
            </w:pPr>
            <w:r w:rsidRPr="00951F50">
              <w:rPr>
                <w:rFonts w:eastAsia="方正黑体_GBK" w:hint="eastAsia"/>
                <w:spacing w:val="-4"/>
                <w:sz w:val="21"/>
                <w:szCs w:val="21"/>
              </w:rPr>
              <w:t>优化审批服务</w:t>
            </w:r>
          </w:p>
        </w:tc>
        <w:tc>
          <w:tcPr>
            <w:tcW w:w="2198" w:type="dxa"/>
            <w:vMerge/>
            <w:shd w:val="clear" w:color="auto" w:fill="auto"/>
            <w:tcMar>
              <w:left w:w="57" w:type="dxa"/>
              <w:right w:w="57" w:type="dxa"/>
            </w:tcMar>
            <w:vAlign w:val="center"/>
          </w:tcPr>
          <w:p w:rsidR="00673BCA" w:rsidRPr="00951F50" w:rsidRDefault="00673BCA" w:rsidP="00372E1E">
            <w:pPr>
              <w:rPr>
                <w:rFonts w:eastAsia="方正黑体_GBK"/>
                <w:spacing w:val="-4"/>
                <w:sz w:val="21"/>
                <w:szCs w:val="21"/>
              </w:rPr>
            </w:pPr>
          </w:p>
        </w:tc>
        <w:tc>
          <w:tcPr>
            <w:tcW w:w="3389" w:type="dxa"/>
            <w:vMerge/>
            <w:shd w:val="clear" w:color="000000" w:fill="FFFFFF"/>
            <w:tcMar>
              <w:left w:w="57" w:type="dxa"/>
              <w:right w:w="57" w:type="dxa"/>
            </w:tcMar>
            <w:vAlign w:val="center"/>
          </w:tcPr>
          <w:p w:rsidR="00673BCA" w:rsidRPr="00951F50" w:rsidRDefault="00673BCA" w:rsidP="00372E1E">
            <w:pPr>
              <w:rPr>
                <w:rFonts w:eastAsia="方正黑体_GBK"/>
                <w:spacing w:val="-4"/>
                <w:sz w:val="21"/>
                <w:szCs w:val="21"/>
              </w:rPr>
            </w:pP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spacing w:val="-4"/>
                <w:sz w:val="21"/>
                <w:szCs w:val="21"/>
              </w:rPr>
              <w:t>1</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教育部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省教育厅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实施中等及中等以下学历教育、学前教育、自学考试助学及其他文化教育的民办学校筹设审批</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筹设批准书</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《中华人民共和国民办教育促进法》《中华人民共和国民办教育促进法实施条例》</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县级以上地方教育部门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noWrap/>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举办实施中等及中等以下学历教育、学前教育、自学考试助学及其他文化教育的民办学校，不再向教育部门申办筹设审批，直接申请办理办学许可。</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spacing w:val="-4"/>
                <w:sz w:val="21"/>
                <w:szCs w:val="21"/>
              </w:rPr>
              <w:t>1</w:t>
            </w:r>
            <w:r w:rsidRPr="00951F50">
              <w:rPr>
                <w:rFonts w:eastAsia="方正书宋_GBK"/>
                <w:spacing w:val="-4"/>
                <w:sz w:val="21"/>
                <w:szCs w:val="21"/>
              </w:rPr>
              <w:t>．</w:t>
            </w:r>
            <w:r w:rsidRPr="00951F50">
              <w:rPr>
                <w:rFonts w:eastAsia="方正书宋_GBK" w:hint="eastAsia"/>
                <w:spacing w:val="-4"/>
                <w:sz w:val="21"/>
                <w:szCs w:val="21"/>
              </w:rPr>
              <w:t>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公开”监管，定期进行抽查检查，加强对民办学校的过程性指导，加大对违法违规办学行为的查处力度。</w:t>
            </w:r>
            <w:r w:rsidRPr="00951F50">
              <w:rPr>
                <w:rFonts w:eastAsia="方正书宋_GBK" w:hint="eastAsia"/>
                <w:spacing w:val="-4"/>
                <w:sz w:val="21"/>
                <w:szCs w:val="21"/>
              </w:rPr>
              <w:t>2</w:t>
            </w:r>
            <w:r w:rsidRPr="00951F50">
              <w:rPr>
                <w:rFonts w:eastAsia="方正书宋_GBK" w:hint="eastAsia"/>
                <w:spacing w:val="-4"/>
                <w:sz w:val="21"/>
                <w:szCs w:val="21"/>
              </w:rPr>
              <w:t>．推进民办教育信用信息公示制度，将民办学校的法人登记信息、行政许可信息、年度检查信息、监督检查结果、行政处罚信息向社会公示，强化信用约束。</w:t>
            </w:r>
            <w:r w:rsidRPr="00951F50">
              <w:rPr>
                <w:rFonts w:eastAsia="方正书宋_GBK" w:hint="eastAsia"/>
                <w:spacing w:val="-4"/>
                <w:sz w:val="21"/>
                <w:szCs w:val="21"/>
              </w:rPr>
              <w:t>3</w:t>
            </w:r>
            <w:r w:rsidRPr="00951F50">
              <w:rPr>
                <w:rFonts w:eastAsia="方正书宋_GBK" w:hint="eastAsia"/>
                <w:spacing w:val="-4"/>
                <w:sz w:val="21"/>
                <w:szCs w:val="21"/>
              </w:rPr>
              <w:t>．依法依规建立违规失信惩戒机制，并将违规办学的学校及其举办者和负责人纳入黑名单，依法向社会公开，并对其今后在民办教育领域的许可申请实施重点监管。</w:t>
            </w:r>
            <w:r w:rsidRPr="00951F50">
              <w:rPr>
                <w:rFonts w:eastAsia="方正书宋_GBK" w:hint="eastAsia"/>
                <w:spacing w:val="-4"/>
                <w:sz w:val="21"/>
                <w:szCs w:val="21"/>
              </w:rPr>
              <w:t>4</w:t>
            </w:r>
            <w:r w:rsidRPr="00951F50">
              <w:rPr>
                <w:rFonts w:eastAsia="方正书宋_GBK" w:hint="eastAsia"/>
                <w:spacing w:val="-4"/>
                <w:sz w:val="21"/>
                <w:szCs w:val="21"/>
              </w:rPr>
              <w:t>．健全联合执法机制，通过跨部门的实时数据对接和信息共享，及时掌握和</w:t>
            </w:r>
            <w:proofErr w:type="gramStart"/>
            <w:r w:rsidRPr="00951F50">
              <w:rPr>
                <w:rFonts w:eastAsia="方正书宋_GBK" w:hint="eastAsia"/>
                <w:spacing w:val="-4"/>
                <w:sz w:val="21"/>
                <w:szCs w:val="21"/>
              </w:rPr>
              <w:t>研判</w:t>
            </w:r>
            <w:proofErr w:type="gramEnd"/>
            <w:r w:rsidRPr="00951F50">
              <w:rPr>
                <w:rFonts w:eastAsia="方正书宋_GBK" w:hint="eastAsia"/>
                <w:spacing w:val="-4"/>
                <w:sz w:val="21"/>
                <w:szCs w:val="21"/>
              </w:rPr>
              <w:t>民办教育领域出现的新问题，积极主动予以应对。</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spacing w:val="-4"/>
                <w:sz w:val="21"/>
                <w:szCs w:val="21"/>
              </w:rPr>
              <w:lastRenderedPageBreak/>
              <w:t>2</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公安部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省公安厅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互联网上网服务营业场所信息网络安全审核</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批准文件</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《互联网上网服务营业场所管理条例》</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省、设区的市、县级公安机关</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取消“互联网上网服务营业场所信息网络安全审核”。</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加强部门间信息共享。市场监管部门在企业登记后及时将有关信息推送至有关公安机关。文化和旅游部门在实施互联网上网服务营业场所审批后及时将有关信息推送至同级公安机关，公安机关及时纳入监管范围。</w:t>
            </w:r>
            <w:r w:rsidRPr="00951F50">
              <w:rPr>
                <w:rFonts w:eastAsia="方正书宋_GBK" w:hint="eastAsia"/>
                <w:spacing w:val="-4"/>
                <w:sz w:val="21"/>
                <w:szCs w:val="21"/>
              </w:rPr>
              <w:t>2</w:t>
            </w:r>
            <w:r w:rsidRPr="00951F50">
              <w:rPr>
                <w:rFonts w:eastAsia="方正书宋_GBK" w:hint="eastAsia"/>
                <w:spacing w:val="-4"/>
                <w:sz w:val="21"/>
                <w:szCs w:val="21"/>
              </w:rPr>
              <w:t>．开展“双随机、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公开”监管，依法查处违法违规行为。</w:t>
            </w:r>
            <w:r w:rsidRPr="00951F50">
              <w:rPr>
                <w:rFonts w:eastAsia="方正书宋_GBK" w:hint="eastAsia"/>
                <w:spacing w:val="-4"/>
                <w:sz w:val="21"/>
                <w:szCs w:val="21"/>
              </w:rPr>
              <w:t>3</w:t>
            </w:r>
            <w:r w:rsidRPr="00951F50">
              <w:rPr>
                <w:rFonts w:eastAsia="方正书宋_GBK" w:hint="eastAsia"/>
                <w:spacing w:val="-4"/>
                <w:sz w:val="21"/>
                <w:szCs w:val="21"/>
              </w:rPr>
              <w:t>．加强信用监管，建立从业人员信用档案，依法依规对失信主体开展失信惩戒。</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spacing w:val="-4"/>
                <w:sz w:val="21"/>
                <w:szCs w:val="21"/>
              </w:rPr>
              <w:t>3</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财政部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省财政厅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中介机构从事代理记账业务审批</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代理记账许可证书</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《中华人民共和国会计法》</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县级地方财政部门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取消“中介机构从事代理记账业务审批”。</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hint="eastAsia"/>
                <w:spacing w:val="-8"/>
                <w:sz w:val="21"/>
                <w:szCs w:val="21"/>
              </w:rPr>
            </w:pPr>
            <w:r w:rsidRPr="00951F50">
              <w:rPr>
                <w:rFonts w:eastAsia="方正书宋_GBK" w:hint="eastAsia"/>
                <w:spacing w:val="-8"/>
                <w:sz w:val="21"/>
                <w:szCs w:val="21"/>
              </w:rPr>
              <w:t>1</w:t>
            </w:r>
            <w:r w:rsidRPr="00951F50">
              <w:rPr>
                <w:rFonts w:eastAsia="方正书宋_GBK" w:hint="eastAsia"/>
                <w:spacing w:val="-8"/>
                <w:sz w:val="21"/>
                <w:szCs w:val="21"/>
              </w:rPr>
              <w:t>．充分运用市场监管部门共享的代理记账机构登记注册信息，加强监管。</w:t>
            </w:r>
            <w:r w:rsidRPr="00951F50">
              <w:rPr>
                <w:rFonts w:eastAsia="方正书宋_GBK" w:hint="eastAsia"/>
                <w:spacing w:val="-8"/>
                <w:sz w:val="21"/>
                <w:szCs w:val="21"/>
              </w:rPr>
              <w:t>2</w:t>
            </w:r>
            <w:r w:rsidRPr="00951F50">
              <w:rPr>
                <w:rFonts w:eastAsia="方正书宋_GBK" w:hint="eastAsia"/>
                <w:spacing w:val="-8"/>
                <w:sz w:val="21"/>
                <w:szCs w:val="21"/>
              </w:rPr>
              <w:t>．加强对代理记账行业协会的指导，提升行业自律水平。</w:t>
            </w:r>
            <w:r w:rsidRPr="00951F50">
              <w:rPr>
                <w:rFonts w:eastAsia="方正书宋_GBK" w:hint="eastAsia"/>
                <w:spacing w:val="-8"/>
                <w:sz w:val="21"/>
                <w:szCs w:val="21"/>
              </w:rPr>
              <w:t>3</w:t>
            </w:r>
            <w:r w:rsidRPr="00951F50">
              <w:rPr>
                <w:rFonts w:eastAsia="方正书宋_GBK" w:hint="eastAsia"/>
                <w:spacing w:val="-8"/>
                <w:sz w:val="21"/>
                <w:szCs w:val="21"/>
              </w:rPr>
              <w:t>．根据会计信息质量检查等执法工作中发现的线索，对有关代理记账中介机构实施重点监管。</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t>4</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住房城乡建设部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省住房城乡建设厅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从事生活垃圾（含粪便）经营性清扫、收集、运输服务审批</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从事生活垃圾（含粪便）经营性清扫、收集、运输服务许可证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《国务院对确需保留的行政审批项目设定行政许可的决定》</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县级以上地方住房城乡建设（环境卫生）部门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取消“从事生活垃圾（含粪便）经营性清扫、收集、运输服务审批”。</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．构建生活垃圾经营性服务全过程监管体系，强化日常监管。</w:t>
            </w:r>
            <w:r w:rsidRPr="00951F50">
              <w:rPr>
                <w:rFonts w:eastAsia="方正书宋_GBK" w:hint="eastAsia"/>
                <w:spacing w:val="-4"/>
                <w:sz w:val="21"/>
                <w:szCs w:val="21"/>
              </w:rPr>
              <w:t>2</w:t>
            </w:r>
            <w:r w:rsidRPr="00951F50">
              <w:rPr>
                <w:rFonts w:eastAsia="方正书宋_GBK" w:hint="eastAsia"/>
                <w:spacing w:val="-4"/>
                <w:sz w:val="21"/>
                <w:szCs w:val="21"/>
              </w:rPr>
              <w:t>．推动生活垃圾无害化处理设施建设和运营信息公开。</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lastRenderedPageBreak/>
              <w:t>5</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商务部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省商务厅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对外贸易经营者备案登记</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对外贸易经营者备案登记表</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《中华人民共和国对外贸易法》</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县级以上地方商务部门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取消“对外贸易经营者备案登记”。</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hint="eastAsia"/>
                <w:spacing w:val="-4"/>
                <w:w w:val="80"/>
                <w:sz w:val="21"/>
                <w:szCs w:val="21"/>
              </w:rPr>
            </w:pPr>
            <w:r w:rsidRPr="00951F50">
              <w:rPr>
                <w:rFonts w:eastAsia="方正书宋_GBK" w:hint="eastAsia"/>
                <w:spacing w:val="-4"/>
                <w:w w:val="80"/>
                <w:sz w:val="21"/>
                <w:szCs w:val="21"/>
              </w:rPr>
              <w:t>1</w:t>
            </w:r>
            <w:r w:rsidRPr="00951F50">
              <w:rPr>
                <w:rFonts w:eastAsia="方正书宋_GBK" w:hint="eastAsia"/>
                <w:spacing w:val="-4"/>
                <w:w w:val="80"/>
                <w:sz w:val="21"/>
                <w:szCs w:val="21"/>
              </w:rPr>
              <w:t>．加强部门间信息共享，商务部会同市场监管总局建立信息共享专线，市场监管总局将对外贸易经营企业的登记注册信息和应商务部需求采集的其他信息及时推送至商务部等有关部门，海关总署将进出口货物收发货人备案信息等及时推送至商务部等有关部门。</w:t>
            </w:r>
            <w:r w:rsidRPr="00951F50">
              <w:rPr>
                <w:rFonts w:eastAsia="方正书宋_GBK" w:hint="eastAsia"/>
                <w:spacing w:val="-4"/>
                <w:w w:val="80"/>
                <w:sz w:val="21"/>
                <w:szCs w:val="21"/>
              </w:rPr>
              <w:t>2</w:t>
            </w:r>
            <w:r w:rsidRPr="00951F50">
              <w:rPr>
                <w:rFonts w:eastAsia="方正书宋_GBK" w:hint="eastAsia"/>
                <w:spacing w:val="-4"/>
                <w:w w:val="80"/>
                <w:sz w:val="21"/>
                <w:szCs w:val="21"/>
              </w:rPr>
              <w:t>．商务部指导自由贸易试验区开展“双随机、</w:t>
            </w:r>
            <w:proofErr w:type="gramStart"/>
            <w:r w:rsidRPr="00951F50">
              <w:rPr>
                <w:rFonts w:eastAsia="方正书宋_GBK" w:hint="eastAsia"/>
                <w:spacing w:val="-4"/>
                <w:w w:val="80"/>
                <w:sz w:val="21"/>
                <w:szCs w:val="21"/>
              </w:rPr>
              <w:t>一</w:t>
            </w:r>
            <w:proofErr w:type="gramEnd"/>
            <w:r w:rsidRPr="00951F50">
              <w:rPr>
                <w:rFonts w:eastAsia="方正书宋_GBK" w:hint="eastAsia"/>
                <w:spacing w:val="-4"/>
                <w:w w:val="80"/>
                <w:sz w:val="21"/>
                <w:szCs w:val="21"/>
              </w:rPr>
              <w:t>公开”监管等事中事后监管，发现违法违规行为要依法查处并公开结果，对严重违法违规的企业依法联合实施市场禁入措施。</w:t>
            </w:r>
            <w:r w:rsidRPr="00951F50">
              <w:rPr>
                <w:rFonts w:eastAsia="方正书宋_GBK" w:hint="eastAsia"/>
                <w:spacing w:val="-4"/>
                <w:w w:val="80"/>
                <w:sz w:val="21"/>
                <w:szCs w:val="21"/>
              </w:rPr>
              <w:t>3</w:t>
            </w:r>
            <w:r w:rsidRPr="00951F50">
              <w:rPr>
                <w:rFonts w:eastAsia="方正书宋_GBK" w:hint="eastAsia"/>
                <w:spacing w:val="-4"/>
                <w:w w:val="80"/>
                <w:sz w:val="21"/>
                <w:szCs w:val="21"/>
              </w:rPr>
              <w:t>．加强信用监管，建立经营主体信用记录，依法依规实施失信惩戒。</w:t>
            </w:r>
            <w:r w:rsidRPr="00951F50">
              <w:rPr>
                <w:rFonts w:eastAsia="方正书宋_GBK" w:hint="eastAsia"/>
                <w:spacing w:val="-4"/>
                <w:w w:val="80"/>
                <w:sz w:val="21"/>
                <w:szCs w:val="21"/>
              </w:rPr>
              <w:t>4</w:t>
            </w:r>
            <w:r w:rsidRPr="00951F50">
              <w:rPr>
                <w:rFonts w:eastAsia="方正书宋_GBK" w:hint="eastAsia"/>
                <w:spacing w:val="-4"/>
                <w:w w:val="80"/>
                <w:sz w:val="21"/>
                <w:szCs w:val="21"/>
              </w:rPr>
              <w:t>．支持行业协会发挥自律作用。</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t>6</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市场监管总局</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省市场监管局</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承担国家法定计量检定机构任务授权审批</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计量授权证书</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《中华人民共和国计量法》</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县级以上市场监管部门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取消“承担国家法定计量检定机构任务授权审批”。</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hint="eastAsia"/>
                <w:spacing w:val="-4"/>
                <w:w w:val="90"/>
                <w:sz w:val="21"/>
                <w:szCs w:val="21"/>
              </w:rPr>
            </w:pPr>
            <w:r w:rsidRPr="00951F50">
              <w:rPr>
                <w:rFonts w:eastAsia="方正书宋_GBK" w:hint="eastAsia"/>
                <w:spacing w:val="-4"/>
                <w:w w:val="90"/>
                <w:sz w:val="21"/>
                <w:szCs w:val="21"/>
              </w:rPr>
              <w:t>1</w:t>
            </w:r>
            <w:r w:rsidRPr="00951F50">
              <w:rPr>
                <w:rFonts w:eastAsia="方正书宋_GBK" w:hint="eastAsia"/>
                <w:spacing w:val="-4"/>
                <w:w w:val="90"/>
                <w:sz w:val="21"/>
                <w:szCs w:val="21"/>
              </w:rPr>
              <w:t>．开展“双随机、</w:t>
            </w:r>
            <w:proofErr w:type="gramStart"/>
            <w:r w:rsidRPr="00951F50">
              <w:rPr>
                <w:rFonts w:eastAsia="方正书宋_GBK" w:hint="eastAsia"/>
                <w:spacing w:val="-4"/>
                <w:w w:val="90"/>
                <w:sz w:val="21"/>
                <w:szCs w:val="21"/>
              </w:rPr>
              <w:t>一</w:t>
            </w:r>
            <w:proofErr w:type="gramEnd"/>
            <w:r w:rsidRPr="00951F50">
              <w:rPr>
                <w:rFonts w:eastAsia="方正书宋_GBK" w:hint="eastAsia"/>
                <w:spacing w:val="-4"/>
                <w:w w:val="90"/>
                <w:sz w:val="21"/>
                <w:szCs w:val="21"/>
              </w:rPr>
              <w:t>公开”监管，发现违法违规行为要依法查处并公开结果。</w:t>
            </w:r>
            <w:r w:rsidRPr="00951F50">
              <w:rPr>
                <w:rFonts w:eastAsia="方正书宋_GBK" w:hint="eastAsia"/>
                <w:spacing w:val="-4"/>
                <w:w w:val="90"/>
                <w:sz w:val="21"/>
                <w:szCs w:val="21"/>
              </w:rPr>
              <w:t>2</w:t>
            </w:r>
            <w:r w:rsidRPr="00951F50">
              <w:rPr>
                <w:rFonts w:eastAsia="方正书宋_GBK" w:hint="eastAsia"/>
                <w:spacing w:val="-4"/>
                <w:w w:val="90"/>
                <w:sz w:val="21"/>
                <w:szCs w:val="21"/>
              </w:rPr>
              <w:t>．对通过投诉举报等渠道反映问题多的机构实施重点监管。</w:t>
            </w:r>
            <w:r w:rsidRPr="00951F50">
              <w:rPr>
                <w:rFonts w:eastAsia="方正书宋_GBK" w:hint="eastAsia"/>
                <w:spacing w:val="-4"/>
                <w:w w:val="90"/>
                <w:sz w:val="21"/>
                <w:szCs w:val="21"/>
              </w:rPr>
              <w:t>3</w:t>
            </w:r>
            <w:r w:rsidRPr="00951F50">
              <w:rPr>
                <w:rFonts w:eastAsia="方正书宋_GBK" w:hint="eastAsia"/>
                <w:spacing w:val="-4"/>
                <w:w w:val="90"/>
                <w:sz w:val="21"/>
                <w:szCs w:val="21"/>
              </w:rPr>
              <w:t>．加强信用监管，依法向社会公布法定计量检定机构信用状况，依法依规对失信主体开展失信惩戒。</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lastRenderedPageBreak/>
              <w:t>7</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国家药监局</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省药监局</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医疗机构使用放射性药品（一、二类）许可</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放射性药品使用许可证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《放射性药品管理办法》</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省级药监部门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取消“医疗机构使用放射性药品（一、二类）许可”。</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．加强对医疗机构使用放射性药品的日常监督检查。</w:t>
            </w:r>
            <w:r w:rsidRPr="00951F50">
              <w:rPr>
                <w:rFonts w:eastAsia="方正书宋_GBK" w:hint="eastAsia"/>
                <w:spacing w:val="-4"/>
                <w:sz w:val="21"/>
                <w:szCs w:val="21"/>
              </w:rPr>
              <w:t>2</w:t>
            </w:r>
            <w:r w:rsidRPr="00951F50">
              <w:rPr>
                <w:rFonts w:eastAsia="方正书宋_GBK" w:hint="eastAsia"/>
                <w:spacing w:val="-4"/>
                <w:sz w:val="21"/>
                <w:szCs w:val="21"/>
              </w:rPr>
              <w:t>．加强药监、卫生健康、生态环境等部门间的协调配合，及时共享医疗机构使用放射性药品信息。</w:t>
            </w:r>
            <w:r w:rsidRPr="00951F50">
              <w:rPr>
                <w:rFonts w:eastAsia="方正书宋_GBK" w:hint="eastAsia"/>
                <w:spacing w:val="-4"/>
                <w:sz w:val="21"/>
                <w:szCs w:val="21"/>
              </w:rPr>
              <w:t>3</w:t>
            </w:r>
            <w:r w:rsidRPr="00951F50">
              <w:rPr>
                <w:rFonts w:eastAsia="方正书宋_GBK" w:hint="eastAsia"/>
                <w:spacing w:val="-4"/>
                <w:sz w:val="21"/>
                <w:szCs w:val="21"/>
              </w:rPr>
              <w:t>．及时向社会公开医疗机构使用放射性药品有关信息，加强社会监督。</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t>8</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国家药监局</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省药监局</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药品零售企业筹建审批</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无</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《中华人民共和国药品管理法实施条例》</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设区的市、县级药监部门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开办药品零售企业</w:t>
            </w:r>
            <w:proofErr w:type="gramStart"/>
            <w:r w:rsidRPr="00951F50">
              <w:rPr>
                <w:rFonts w:eastAsia="方正书宋_GBK" w:hint="eastAsia"/>
                <w:spacing w:val="-4"/>
                <w:sz w:val="21"/>
                <w:szCs w:val="21"/>
              </w:rPr>
              <w:t>不再向药监</w:t>
            </w:r>
            <w:proofErr w:type="gramEnd"/>
            <w:r w:rsidRPr="00951F50">
              <w:rPr>
                <w:rFonts w:eastAsia="方正书宋_GBK" w:hint="eastAsia"/>
                <w:spacing w:val="-4"/>
                <w:sz w:val="21"/>
                <w:szCs w:val="21"/>
              </w:rPr>
              <w:t>部门申请办理筹建审批，直接申请办理药品经营许可。</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w w:val="90"/>
                <w:sz w:val="21"/>
                <w:szCs w:val="21"/>
              </w:rPr>
            </w:pPr>
            <w:r w:rsidRPr="00951F50">
              <w:rPr>
                <w:rFonts w:eastAsia="方正书宋_GBK" w:hint="eastAsia"/>
                <w:spacing w:val="-4"/>
                <w:w w:val="90"/>
                <w:sz w:val="21"/>
                <w:szCs w:val="21"/>
              </w:rPr>
              <w:t>1</w:t>
            </w:r>
            <w:r w:rsidRPr="00951F50">
              <w:rPr>
                <w:rFonts w:eastAsia="方正书宋_GBK" w:hint="eastAsia"/>
                <w:spacing w:val="-4"/>
                <w:w w:val="90"/>
                <w:sz w:val="21"/>
                <w:szCs w:val="21"/>
              </w:rPr>
              <w:t>．全面落实新修订的药品管理法有关规定，进一步完善有关部门规章内容，细化监管要求，推动属地监管部门强化监督检查，落实监管责任。</w:t>
            </w:r>
            <w:r w:rsidRPr="00951F50">
              <w:rPr>
                <w:rFonts w:eastAsia="方正书宋_GBK" w:hint="eastAsia"/>
                <w:spacing w:val="-4"/>
                <w:w w:val="90"/>
                <w:sz w:val="21"/>
                <w:szCs w:val="21"/>
              </w:rPr>
              <w:t>2</w:t>
            </w:r>
            <w:r w:rsidRPr="00951F50">
              <w:rPr>
                <w:rFonts w:eastAsia="方正书宋_GBK" w:hint="eastAsia"/>
                <w:spacing w:val="-4"/>
                <w:w w:val="90"/>
                <w:sz w:val="21"/>
                <w:szCs w:val="21"/>
              </w:rPr>
              <w:t>．落实“四个最严”要求，制定年度监管计划，突出监管重点，强化风险控制。</w:t>
            </w:r>
            <w:r w:rsidRPr="00951F50">
              <w:rPr>
                <w:rFonts w:eastAsia="方正书宋_GBK" w:hint="eastAsia"/>
                <w:spacing w:val="-4"/>
                <w:w w:val="90"/>
                <w:sz w:val="21"/>
                <w:szCs w:val="21"/>
              </w:rPr>
              <w:t>3</w:t>
            </w:r>
            <w:r w:rsidRPr="00951F50">
              <w:rPr>
                <w:rFonts w:eastAsia="方正书宋_GBK" w:hint="eastAsia"/>
                <w:spacing w:val="-4"/>
                <w:w w:val="90"/>
                <w:sz w:val="21"/>
                <w:szCs w:val="21"/>
              </w:rPr>
              <w:t>．通过日常监管督促企业不断完善、改进质量管理体系，持续合法合</w:t>
            </w:r>
            <w:proofErr w:type="gramStart"/>
            <w:r w:rsidRPr="00951F50">
              <w:rPr>
                <w:rFonts w:eastAsia="方正书宋_GBK" w:hint="eastAsia"/>
                <w:spacing w:val="-4"/>
                <w:w w:val="90"/>
                <w:sz w:val="21"/>
                <w:szCs w:val="21"/>
              </w:rPr>
              <w:t>规</w:t>
            </w:r>
            <w:proofErr w:type="gramEnd"/>
            <w:r w:rsidRPr="00951F50">
              <w:rPr>
                <w:rFonts w:eastAsia="方正书宋_GBK" w:hint="eastAsia"/>
                <w:spacing w:val="-4"/>
                <w:w w:val="90"/>
                <w:sz w:val="21"/>
                <w:szCs w:val="21"/>
              </w:rPr>
              <w:t>经营。</w:t>
            </w:r>
            <w:r w:rsidRPr="00951F50">
              <w:rPr>
                <w:rFonts w:eastAsia="方正书宋_GBK" w:hint="eastAsia"/>
                <w:spacing w:val="-4"/>
                <w:w w:val="90"/>
                <w:sz w:val="21"/>
                <w:szCs w:val="21"/>
              </w:rPr>
              <w:t>4</w:t>
            </w:r>
            <w:r w:rsidRPr="00951F50">
              <w:rPr>
                <w:rFonts w:eastAsia="方正书宋_GBK" w:hint="eastAsia"/>
                <w:spacing w:val="-4"/>
                <w:w w:val="90"/>
                <w:sz w:val="21"/>
                <w:szCs w:val="21"/>
              </w:rPr>
              <w:t>．对违法违规行为依法严厉查处并公开曝光。</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lastRenderedPageBreak/>
              <w:t>9</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教育部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省教育厅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实施自学考试助学的民办学校设立、变更和终止审批</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中华人民共和国民办学校办学许可证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《中华人民共和国民办教育促进法》《中华人民共和国民办教育促进法实施条例》</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县级以上地方教育部门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对实施自学考试助学的民办学校，取消办学许可，改为备案管理。</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hint="eastAsia"/>
                <w:spacing w:val="-4"/>
                <w:w w:val="90"/>
                <w:sz w:val="21"/>
                <w:szCs w:val="21"/>
              </w:rPr>
            </w:pPr>
            <w:r w:rsidRPr="00951F50">
              <w:rPr>
                <w:rFonts w:eastAsia="方正书宋_GBK" w:hint="eastAsia"/>
                <w:spacing w:val="-4"/>
                <w:w w:val="90"/>
                <w:sz w:val="21"/>
                <w:szCs w:val="21"/>
              </w:rPr>
              <w:t>1</w:t>
            </w:r>
            <w:r w:rsidRPr="00951F50">
              <w:rPr>
                <w:rFonts w:eastAsia="方正书宋_GBK" w:hint="eastAsia"/>
                <w:spacing w:val="-4"/>
                <w:w w:val="90"/>
                <w:sz w:val="21"/>
                <w:szCs w:val="21"/>
              </w:rPr>
              <w:t>．开展“双随机、</w:t>
            </w:r>
            <w:proofErr w:type="gramStart"/>
            <w:r w:rsidRPr="00951F50">
              <w:rPr>
                <w:rFonts w:eastAsia="方正书宋_GBK" w:hint="eastAsia"/>
                <w:spacing w:val="-4"/>
                <w:w w:val="90"/>
                <w:sz w:val="21"/>
                <w:szCs w:val="21"/>
              </w:rPr>
              <w:t>一</w:t>
            </w:r>
            <w:proofErr w:type="gramEnd"/>
            <w:r w:rsidRPr="00951F50">
              <w:rPr>
                <w:rFonts w:eastAsia="方正书宋_GBK" w:hint="eastAsia"/>
                <w:spacing w:val="-4"/>
                <w:w w:val="90"/>
                <w:sz w:val="21"/>
                <w:szCs w:val="21"/>
              </w:rPr>
              <w:t>公开”监管，定期进行抽查检查，加强对民办学校的过程性指导，加大对违法违规办学行为的查处力度。</w:t>
            </w:r>
            <w:r w:rsidRPr="00951F50">
              <w:rPr>
                <w:rFonts w:eastAsia="方正书宋_GBK" w:hint="eastAsia"/>
                <w:spacing w:val="-4"/>
                <w:w w:val="90"/>
                <w:sz w:val="21"/>
                <w:szCs w:val="21"/>
              </w:rPr>
              <w:t>2</w:t>
            </w:r>
            <w:r w:rsidRPr="00951F50">
              <w:rPr>
                <w:rFonts w:eastAsia="方正书宋_GBK" w:hint="eastAsia"/>
                <w:spacing w:val="-4"/>
                <w:w w:val="90"/>
                <w:sz w:val="21"/>
                <w:szCs w:val="21"/>
              </w:rPr>
              <w:t>．推进民办教育信用信息公示制度，将民办学校的法人登记信息、行政许可信息、年度检查信息、监督检查结果、行政处罚信息向社会公示，强化信用约束。</w:t>
            </w:r>
            <w:r w:rsidRPr="00951F50">
              <w:rPr>
                <w:rFonts w:eastAsia="方正书宋_GBK" w:hint="eastAsia"/>
                <w:spacing w:val="-4"/>
                <w:w w:val="90"/>
                <w:sz w:val="21"/>
                <w:szCs w:val="21"/>
              </w:rPr>
              <w:t>3</w:t>
            </w:r>
            <w:r w:rsidRPr="00951F50">
              <w:rPr>
                <w:rFonts w:eastAsia="方正书宋_GBK" w:hint="eastAsia"/>
                <w:spacing w:val="-4"/>
                <w:w w:val="90"/>
                <w:sz w:val="21"/>
                <w:szCs w:val="21"/>
              </w:rPr>
              <w:t>．依法依规建立违规失信惩戒机制，将违规办学的学校及其举办者和负责人纳入黑名单，依法向社会公开，并对其今后在民办教育领域的许可申请实施重点监管。</w:t>
            </w:r>
            <w:r w:rsidRPr="00951F50">
              <w:rPr>
                <w:rFonts w:eastAsia="方正书宋_GBK" w:hint="eastAsia"/>
                <w:spacing w:val="-4"/>
                <w:w w:val="90"/>
                <w:sz w:val="21"/>
                <w:szCs w:val="21"/>
              </w:rPr>
              <w:t>4</w:t>
            </w:r>
            <w:r w:rsidRPr="00951F50">
              <w:rPr>
                <w:rFonts w:eastAsia="方正书宋_GBK" w:hint="eastAsia"/>
                <w:spacing w:val="-4"/>
                <w:w w:val="90"/>
                <w:sz w:val="21"/>
                <w:szCs w:val="21"/>
              </w:rPr>
              <w:t>．健全联合执法机制，通过跨部门的实时数据对接和信息共享，及时掌握和</w:t>
            </w:r>
            <w:proofErr w:type="gramStart"/>
            <w:r w:rsidRPr="00951F50">
              <w:rPr>
                <w:rFonts w:eastAsia="方正书宋_GBK" w:hint="eastAsia"/>
                <w:spacing w:val="-4"/>
                <w:w w:val="90"/>
                <w:sz w:val="21"/>
                <w:szCs w:val="21"/>
              </w:rPr>
              <w:t>研判</w:t>
            </w:r>
            <w:proofErr w:type="gramEnd"/>
            <w:r w:rsidRPr="00951F50">
              <w:rPr>
                <w:rFonts w:eastAsia="方正书宋_GBK" w:hint="eastAsia"/>
                <w:spacing w:val="-4"/>
                <w:w w:val="90"/>
                <w:sz w:val="21"/>
                <w:szCs w:val="21"/>
              </w:rPr>
              <w:t>民办教育领域出现的新问题，积极主动予以应对。</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spacing w:val="-4"/>
                <w:sz w:val="21"/>
                <w:szCs w:val="21"/>
              </w:rPr>
              <w:lastRenderedPageBreak/>
              <w:t>1</w:t>
            </w:r>
            <w:r w:rsidRPr="00951F50">
              <w:rPr>
                <w:rFonts w:eastAsia="方正书宋_GBK" w:hint="eastAsia"/>
                <w:spacing w:val="-4"/>
                <w:sz w:val="21"/>
                <w:szCs w:val="21"/>
              </w:rPr>
              <w:t>0</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公安部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省公安厅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公章</w:t>
            </w:r>
            <w:proofErr w:type="gramStart"/>
            <w:r w:rsidRPr="00951F50">
              <w:rPr>
                <w:rFonts w:eastAsia="方正书宋_GBK" w:hint="eastAsia"/>
                <w:spacing w:val="-4"/>
                <w:sz w:val="21"/>
                <w:szCs w:val="21"/>
              </w:rPr>
              <w:t>刻制业</w:t>
            </w:r>
            <w:proofErr w:type="gramEnd"/>
            <w:r w:rsidRPr="00951F50">
              <w:rPr>
                <w:rFonts w:eastAsia="方正书宋_GBK" w:hint="eastAsia"/>
                <w:spacing w:val="-4"/>
                <w:sz w:val="21"/>
                <w:szCs w:val="21"/>
              </w:rPr>
              <w:t>特种行业许可证核发</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公章</w:t>
            </w:r>
            <w:proofErr w:type="gramStart"/>
            <w:r w:rsidRPr="00951F50">
              <w:rPr>
                <w:rFonts w:eastAsia="方正书宋_GBK" w:hint="eastAsia"/>
                <w:spacing w:val="-4"/>
                <w:sz w:val="21"/>
                <w:szCs w:val="21"/>
              </w:rPr>
              <w:t>刻制业</w:t>
            </w:r>
            <w:proofErr w:type="gramEnd"/>
            <w:r w:rsidRPr="00951F50">
              <w:rPr>
                <w:rFonts w:eastAsia="方正书宋_GBK" w:hint="eastAsia"/>
                <w:spacing w:val="-4"/>
                <w:sz w:val="21"/>
                <w:szCs w:val="21"/>
              </w:rPr>
              <w:t>特种行业许可证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《国务院对确需保留的行政审批项目设定行政许可的决定》《印铸刻字业暂行管理规则》</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设区的市、县级公安机关</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取消“公章刻制业特种行业许可证核发”，改为备案管理。</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．加强对备案内容真实性的核查，发现未依法备案、提供虚假备案材料、不符合法定条件的，依法进行处理。</w:t>
            </w:r>
            <w:r w:rsidRPr="00951F50">
              <w:rPr>
                <w:rFonts w:eastAsia="方正书宋_GBK" w:hint="eastAsia"/>
                <w:spacing w:val="-4"/>
                <w:sz w:val="21"/>
                <w:szCs w:val="21"/>
              </w:rPr>
              <w:t>2</w:t>
            </w:r>
            <w:r w:rsidRPr="00951F50">
              <w:rPr>
                <w:rFonts w:eastAsia="方正书宋_GBK" w:hint="eastAsia"/>
                <w:spacing w:val="-4"/>
                <w:sz w:val="21"/>
                <w:szCs w:val="21"/>
              </w:rPr>
              <w:t>．开展“双随机、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公开”监管，发现违法违规行为要依法查处并公开结果。</w:t>
            </w:r>
            <w:r w:rsidRPr="00951F50">
              <w:rPr>
                <w:rFonts w:eastAsia="方正书宋_GBK" w:hint="eastAsia"/>
                <w:spacing w:val="-4"/>
                <w:sz w:val="21"/>
                <w:szCs w:val="21"/>
              </w:rPr>
              <w:t>3</w:t>
            </w:r>
            <w:r w:rsidRPr="00951F50">
              <w:rPr>
                <w:rFonts w:eastAsia="方正书宋_GBK" w:hint="eastAsia"/>
                <w:spacing w:val="-4"/>
                <w:sz w:val="21"/>
                <w:szCs w:val="21"/>
              </w:rPr>
              <w:t>．加强跨部门联合监管和信用监管，依法依规对失信主体开展失信惩戒。</w:t>
            </w:r>
            <w:r w:rsidRPr="00951F50">
              <w:rPr>
                <w:rFonts w:eastAsia="方正书宋_GBK" w:hint="eastAsia"/>
                <w:spacing w:val="-4"/>
                <w:sz w:val="21"/>
                <w:szCs w:val="21"/>
              </w:rPr>
              <w:t>4</w:t>
            </w:r>
            <w:r w:rsidRPr="00951F50">
              <w:rPr>
                <w:rFonts w:eastAsia="方正书宋_GBK" w:hint="eastAsia"/>
                <w:spacing w:val="-4"/>
                <w:sz w:val="21"/>
                <w:szCs w:val="21"/>
              </w:rPr>
              <w:t>．加强公章刻制备案管理，督促公章刻制企业严格落实公章刻制备案管理要求，及时规范上传、报送公章刻制备案信息。</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spacing w:val="-4"/>
                <w:sz w:val="21"/>
                <w:szCs w:val="21"/>
              </w:rPr>
              <w:t>1</w:t>
            </w:r>
            <w:r w:rsidRPr="00951F50">
              <w:rPr>
                <w:rFonts w:eastAsia="方正书宋_GBK" w:hint="eastAsia"/>
                <w:spacing w:val="-4"/>
                <w:sz w:val="21"/>
                <w:szCs w:val="21"/>
              </w:rPr>
              <w:t>1</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商务部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省商务厅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从事拍卖业务许可</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拍卖经营批准证书</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《中华人民共和国拍卖法》</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省级商务部门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取消“从事拍卖业务许可”，改为备案管理。</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．加强备案管理，督促有关企业按规定报送信息。对未按规定备案或者备案信息不实的，会同有关部门依法调查处理并予以纠正。</w:t>
            </w:r>
            <w:r w:rsidRPr="00951F50">
              <w:rPr>
                <w:rFonts w:eastAsia="方正书宋_GBK" w:hint="eastAsia"/>
                <w:spacing w:val="-4"/>
                <w:sz w:val="21"/>
                <w:szCs w:val="21"/>
              </w:rPr>
              <w:t>2</w:t>
            </w:r>
            <w:r w:rsidRPr="00951F50">
              <w:rPr>
                <w:rFonts w:eastAsia="方正书宋_GBK" w:hint="eastAsia"/>
                <w:spacing w:val="-4"/>
                <w:sz w:val="21"/>
                <w:szCs w:val="21"/>
              </w:rPr>
              <w:t>．完善监管措施，加强对拍卖师的监督管理。</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lastRenderedPageBreak/>
              <w:t>12</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国家卫生健康委</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省卫生健康委</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w w:val="90"/>
                <w:sz w:val="21"/>
                <w:szCs w:val="21"/>
              </w:rPr>
            </w:pPr>
            <w:r w:rsidRPr="00951F50">
              <w:rPr>
                <w:rFonts w:eastAsia="方正书宋_GBK" w:hint="eastAsia"/>
                <w:spacing w:val="-4"/>
                <w:w w:val="90"/>
                <w:sz w:val="21"/>
                <w:szCs w:val="21"/>
              </w:rPr>
              <w:t>音乐厅、展览馆、博物馆、美术馆、图书馆、书店、录像厅（室）的公共场所卫生许可</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卫生许可证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《公共场所卫生管理条例》</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县级以上地方卫生健康部门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对音乐厅、展览馆、博物馆、美术馆、图书馆、书店、录像厅（室），取消“公共场所卫生许可”，改为备案管理。</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公开”监管，发现违法违规行为要依法查处并公开结果。</w:t>
            </w:r>
            <w:r w:rsidRPr="00951F50">
              <w:rPr>
                <w:rFonts w:eastAsia="方正书宋_GBK" w:hint="eastAsia"/>
                <w:spacing w:val="-4"/>
                <w:sz w:val="21"/>
                <w:szCs w:val="21"/>
              </w:rPr>
              <w:t>2</w:t>
            </w:r>
            <w:r w:rsidRPr="00951F50">
              <w:rPr>
                <w:rFonts w:eastAsia="方正书宋_GBK" w:hint="eastAsia"/>
                <w:spacing w:val="-4"/>
                <w:sz w:val="21"/>
                <w:szCs w:val="21"/>
              </w:rPr>
              <w:t>．畅通投诉举报渠道，依法及时处理投诉举报。</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t>13</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海关总署</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南京海关</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音乐厅、展览馆、博物馆、美术馆、图书馆、书店、录像厅（室）的口岸卫生许可证核发</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proofErr w:type="gramStart"/>
            <w:r w:rsidRPr="00951F50">
              <w:rPr>
                <w:rFonts w:eastAsia="方正书宋_GBK" w:hint="eastAsia"/>
                <w:spacing w:val="-4"/>
                <w:sz w:val="21"/>
                <w:szCs w:val="21"/>
              </w:rPr>
              <w:t>国境口岸</w:t>
            </w:r>
            <w:proofErr w:type="gramEnd"/>
            <w:r w:rsidRPr="00951F50">
              <w:rPr>
                <w:rFonts w:eastAsia="方正书宋_GBK" w:hint="eastAsia"/>
                <w:spacing w:val="-4"/>
                <w:sz w:val="21"/>
                <w:szCs w:val="21"/>
              </w:rPr>
              <w:t>卫生许可证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《中华人民共和国国境卫生检疫法实施细则》</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主管海关</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对音乐厅、展览馆、博物馆、美术馆、图书馆、书店、录像厅（室），取消“口岸卫生许可证核发”，改为备案管理。</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公开”监管，发现违法违规行为要依法查处并公开结果。</w:t>
            </w:r>
            <w:r w:rsidRPr="00951F50">
              <w:rPr>
                <w:rFonts w:eastAsia="方正书宋_GBK" w:hint="eastAsia"/>
                <w:spacing w:val="-4"/>
                <w:sz w:val="21"/>
                <w:szCs w:val="21"/>
              </w:rPr>
              <w:t>2</w:t>
            </w:r>
            <w:r w:rsidRPr="00951F50">
              <w:rPr>
                <w:rFonts w:eastAsia="方正书宋_GBK" w:hint="eastAsia"/>
                <w:spacing w:val="-4"/>
                <w:sz w:val="21"/>
                <w:szCs w:val="21"/>
              </w:rPr>
              <w:t>．加强日常监管，向社会公布卫生状况存在严重问题的公共场所信息。</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t>14</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国家药监局</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省药监局</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药品互联网信息服务审批</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互联网药品信息服务资格证书</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《互联网信息服务管理办法》</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省级药监部门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取消“药品互联网信息服务审批”，改为备案管理。</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．建立完善药品网络销售规章制度，加强药品网络销售监测，提升监管效率。</w:t>
            </w:r>
            <w:r w:rsidRPr="00951F50">
              <w:rPr>
                <w:rFonts w:eastAsia="方正书宋_GBK" w:hint="eastAsia"/>
                <w:spacing w:val="-4"/>
                <w:sz w:val="21"/>
                <w:szCs w:val="21"/>
              </w:rPr>
              <w:t>2</w:t>
            </w:r>
            <w:r w:rsidRPr="00951F50">
              <w:rPr>
                <w:rFonts w:eastAsia="方正书宋_GBK" w:hint="eastAsia"/>
                <w:spacing w:val="-4"/>
                <w:sz w:val="21"/>
                <w:szCs w:val="21"/>
              </w:rPr>
              <w:t>．对各类违法违规网络销售药品行为依法查处、严厉打击。</w:t>
            </w:r>
            <w:r w:rsidRPr="00951F50">
              <w:rPr>
                <w:rFonts w:eastAsia="方正书宋_GBK" w:hint="eastAsia"/>
                <w:spacing w:val="-4"/>
                <w:sz w:val="21"/>
                <w:szCs w:val="21"/>
              </w:rPr>
              <w:t>3</w:t>
            </w:r>
            <w:r w:rsidRPr="00951F50">
              <w:rPr>
                <w:rFonts w:eastAsia="方正书宋_GBK" w:hint="eastAsia"/>
                <w:spacing w:val="-4"/>
                <w:sz w:val="21"/>
                <w:szCs w:val="21"/>
              </w:rPr>
              <w:t>．违法违规行为涉及通信管理等其他部门的，及时移交有关部门处置；涉嫌犯罪的，及时移送公安机关查处。</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lastRenderedPageBreak/>
              <w:t>15</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国家药监局</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省药监局</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医疗器械互联网信息服务审批</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互联网药品信息服务资格证书</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《互联网信息服务管理办法》</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省级药监部门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取消“医疗器械互联网信息服务审批”，改为备案管理。</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．加强线上线下监管，严厉打击提供不真实医疗器械互联网信息服务、利用网络违规销售医疗器械等行为，对发现的违法违规行为依法查处，及时公开处罚结果。</w:t>
            </w:r>
            <w:r w:rsidRPr="00951F50">
              <w:rPr>
                <w:rFonts w:eastAsia="方正书宋_GBK" w:hint="eastAsia"/>
                <w:spacing w:val="-4"/>
                <w:sz w:val="21"/>
                <w:szCs w:val="21"/>
              </w:rPr>
              <w:t>2</w:t>
            </w:r>
            <w:r w:rsidRPr="00951F50">
              <w:rPr>
                <w:rFonts w:eastAsia="方正书宋_GBK" w:hint="eastAsia"/>
                <w:spacing w:val="-4"/>
                <w:sz w:val="21"/>
                <w:szCs w:val="21"/>
              </w:rPr>
              <w:t>．违法违规行为涉及通信管理等其他部门的，及时移交有关部门处置；涉嫌犯罪的，及时移送公安机关查处。</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t>16</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人力资源社会保障部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省人力资源社会保障厅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劳务派遣经营许可</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劳务派遣经营许可证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《中华人民共和国劳动合同法》</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县级以上地方人力资源社会保障部门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制作并公布告知承诺书格式文本，一次性告知申请人许可条件和所需材料。对申请人自愿承诺符合许可条件并按要求提交材料的，当场</w:t>
            </w:r>
            <w:proofErr w:type="gramStart"/>
            <w:r w:rsidRPr="00951F50">
              <w:rPr>
                <w:rFonts w:eastAsia="方正书宋_GBK" w:hint="eastAsia"/>
                <w:spacing w:val="-4"/>
                <w:sz w:val="21"/>
                <w:szCs w:val="21"/>
              </w:rPr>
              <w:t>作出</w:t>
            </w:r>
            <w:proofErr w:type="gramEnd"/>
            <w:r w:rsidRPr="00951F50">
              <w:rPr>
                <w:rFonts w:eastAsia="方正书宋_GBK" w:hint="eastAsia"/>
                <w:spacing w:val="-4"/>
                <w:sz w:val="21"/>
                <w:szCs w:val="21"/>
              </w:rPr>
              <w:t>许可决定。</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．对以告知承诺方式取得经营许可的劳务派遣单位，加强对其承诺真实性的核查，发现虚假承诺或者承诺严重不实的要依法依规处理。</w:t>
            </w:r>
            <w:r w:rsidRPr="00951F50">
              <w:rPr>
                <w:rFonts w:eastAsia="方正书宋_GBK" w:hint="eastAsia"/>
                <w:spacing w:val="-4"/>
                <w:sz w:val="21"/>
                <w:szCs w:val="21"/>
              </w:rPr>
              <w:t>2</w:t>
            </w:r>
            <w:r w:rsidRPr="00951F50">
              <w:rPr>
                <w:rFonts w:eastAsia="方正书宋_GBK" w:hint="eastAsia"/>
                <w:spacing w:val="-4"/>
                <w:sz w:val="21"/>
                <w:szCs w:val="21"/>
              </w:rPr>
              <w:t>．加强劳动保障监察执法，开展“双随机、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公开”监管，对取得劳务派遣许可证满一年但未报告年度经营情况或未开展经营活动的劳务派遣单位，定期开展检查。</w:t>
            </w:r>
            <w:r w:rsidRPr="00951F50">
              <w:rPr>
                <w:rFonts w:eastAsia="方正书宋_GBK" w:hint="eastAsia"/>
                <w:spacing w:val="-4"/>
                <w:sz w:val="21"/>
                <w:szCs w:val="21"/>
              </w:rPr>
              <w:t>3</w:t>
            </w:r>
            <w:r w:rsidRPr="00951F50">
              <w:rPr>
                <w:rFonts w:eastAsia="方正书宋_GBK" w:hint="eastAsia"/>
                <w:spacing w:val="-4"/>
                <w:sz w:val="21"/>
                <w:szCs w:val="21"/>
              </w:rPr>
              <w:t>．对劳务派遣单位进行信用评价、风险评估或者黑名单管理，依法向社会公布劳务派遣单位信用状况，依法依规对失信主体开展失信惩戒。</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lastRenderedPageBreak/>
              <w:t>17</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住房城乡建设部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省住房城乡建设厅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房地产开发企业二级资质核定</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房地产开发企业资质证书</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《中华人民共和国城市房地产管理法》《城市房地产开发经营管理条例》</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县级以上地方住房城乡建设部门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w w:val="90"/>
                <w:sz w:val="21"/>
                <w:szCs w:val="21"/>
              </w:rPr>
            </w:pPr>
            <w:r w:rsidRPr="00951F50">
              <w:rPr>
                <w:rFonts w:eastAsia="方正书宋_GBK" w:hint="eastAsia"/>
                <w:spacing w:val="-4"/>
                <w:w w:val="90"/>
                <w:sz w:val="21"/>
                <w:szCs w:val="21"/>
              </w:rPr>
              <w:t>制作并公布告知承诺书格式文本，一次性告知申请人许可条件和所需材料。对申请人自愿承诺符合许可条件并按要求提交材料的，当场</w:t>
            </w:r>
            <w:proofErr w:type="gramStart"/>
            <w:r w:rsidRPr="00951F50">
              <w:rPr>
                <w:rFonts w:eastAsia="方正书宋_GBK" w:hint="eastAsia"/>
                <w:spacing w:val="-4"/>
                <w:w w:val="90"/>
                <w:sz w:val="21"/>
                <w:szCs w:val="21"/>
              </w:rPr>
              <w:t>作出</w:t>
            </w:r>
            <w:proofErr w:type="gramEnd"/>
            <w:r w:rsidRPr="00951F50">
              <w:rPr>
                <w:rFonts w:eastAsia="方正书宋_GBK" w:hint="eastAsia"/>
                <w:spacing w:val="-4"/>
                <w:w w:val="90"/>
                <w:sz w:val="21"/>
                <w:szCs w:val="21"/>
              </w:rPr>
              <w:t>许可决定。</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公开”监管，对企业履行承诺情况进行监督检查，依法查处违法违规行为并公开结果。</w:t>
            </w:r>
            <w:r w:rsidRPr="00951F50">
              <w:rPr>
                <w:rFonts w:eastAsia="方正书宋_GBK" w:hint="eastAsia"/>
                <w:spacing w:val="-4"/>
                <w:sz w:val="21"/>
                <w:szCs w:val="21"/>
              </w:rPr>
              <w:t>2</w:t>
            </w:r>
            <w:r w:rsidRPr="00951F50">
              <w:rPr>
                <w:rFonts w:eastAsia="方正书宋_GBK" w:hint="eastAsia"/>
                <w:spacing w:val="-4"/>
                <w:sz w:val="21"/>
                <w:szCs w:val="21"/>
              </w:rPr>
              <w:t>．加强信用监管，依法依规对失信主体开展失信惩戒。</w:t>
            </w:r>
            <w:r w:rsidRPr="00951F50">
              <w:rPr>
                <w:rFonts w:eastAsia="方正书宋_GBK" w:hint="eastAsia"/>
                <w:spacing w:val="-4"/>
                <w:sz w:val="21"/>
                <w:szCs w:val="21"/>
              </w:rPr>
              <w:t>3</w:t>
            </w:r>
            <w:r w:rsidRPr="00951F50">
              <w:rPr>
                <w:rFonts w:eastAsia="方正书宋_GBK" w:hint="eastAsia"/>
                <w:spacing w:val="-4"/>
                <w:sz w:val="21"/>
                <w:szCs w:val="21"/>
              </w:rPr>
              <w:t>．发挥行业协会自律作用。</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t>18</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交通运输部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省交通运输厅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建设港口设施使用非深水岸线审批</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批准文件</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《中华人民共和国港口法》</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县级以上地方交通运输（港口）部门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w w:val="90"/>
                <w:sz w:val="21"/>
                <w:szCs w:val="21"/>
              </w:rPr>
            </w:pPr>
            <w:r w:rsidRPr="00951F50">
              <w:rPr>
                <w:rFonts w:eastAsia="方正书宋_GBK" w:hint="eastAsia"/>
                <w:spacing w:val="-4"/>
                <w:w w:val="90"/>
                <w:sz w:val="21"/>
                <w:szCs w:val="21"/>
              </w:rPr>
              <w:t>制作并公布告知承诺书格式文本，一次性告知申请人许可条件和所需材料。对申请人自愿承诺符合许可条件并按要求提交材料的，当场</w:t>
            </w:r>
            <w:proofErr w:type="gramStart"/>
            <w:r w:rsidRPr="00951F50">
              <w:rPr>
                <w:rFonts w:eastAsia="方正书宋_GBK" w:hint="eastAsia"/>
                <w:spacing w:val="-4"/>
                <w:w w:val="90"/>
                <w:sz w:val="21"/>
                <w:szCs w:val="21"/>
              </w:rPr>
              <w:t>作出</w:t>
            </w:r>
            <w:proofErr w:type="gramEnd"/>
            <w:r w:rsidRPr="00951F50">
              <w:rPr>
                <w:rFonts w:eastAsia="方正书宋_GBK" w:hint="eastAsia"/>
                <w:spacing w:val="-4"/>
                <w:w w:val="90"/>
                <w:sz w:val="21"/>
                <w:szCs w:val="21"/>
              </w:rPr>
              <w:t>许可决定。</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加强信用监管，将港口岸线使用有关信用信息纳入</w:t>
            </w:r>
            <w:r>
              <w:rPr>
                <w:rFonts w:eastAsia="方正书宋_GBK" w:hint="eastAsia"/>
                <w:spacing w:val="-4"/>
                <w:sz w:val="21"/>
                <w:szCs w:val="21"/>
              </w:rPr>
              <w:t>相</w:t>
            </w:r>
            <w:r w:rsidRPr="00951F50">
              <w:rPr>
                <w:rFonts w:eastAsia="方正书宋_GBK" w:hint="eastAsia"/>
                <w:spacing w:val="-4"/>
                <w:sz w:val="21"/>
                <w:szCs w:val="21"/>
              </w:rPr>
              <w:t>关信用信息共享平台并向社会公布。</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t>19</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农业农村部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省农业农村厅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食用菌菌种生产经营许可证核发</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食用菌菌种生产经营许可证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《中华人民共和国种子法》</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县级以上地方农业农村部门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制作并公布告知承诺书格式文本，一次性告知申请人许可条件和所需材料。对申请人自愿承诺符合许可条件并按要求提交材料的，当场</w:t>
            </w:r>
            <w:proofErr w:type="gramStart"/>
            <w:r w:rsidRPr="00951F50">
              <w:rPr>
                <w:rFonts w:eastAsia="方正书宋_GBK" w:hint="eastAsia"/>
                <w:spacing w:val="-4"/>
                <w:sz w:val="21"/>
                <w:szCs w:val="21"/>
              </w:rPr>
              <w:t>作出</w:t>
            </w:r>
            <w:proofErr w:type="gramEnd"/>
            <w:r w:rsidRPr="00951F50">
              <w:rPr>
                <w:rFonts w:eastAsia="方正书宋_GBK" w:hint="eastAsia"/>
                <w:spacing w:val="-4"/>
                <w:sz w:val="21"/>
                <w:szCs w:val="21"/>
              </w:rPr>
              <w:t>许可决定。</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公开”监管，严肃查处虚假承诺行为。</w:t>
            </w:r>
            <w:r w:rsidRPr="00951F50">
              <w:rPr>
                <w:rFonts w:eastAsia="方正书宋_GBK" w:hint="eastAsia"/>
                <w:spacing w:val="-4"/>
                <w:sz w:val="21"/>
                <w:szCs w:val="21"/>
              </w:rPr>
              <w:t>2</w:t>
            </w:r>
            <w:r w:rsidRPr="00951F50">
              <w:rPr>
                <w:rFonts w:eastAsia="方正书宋_GBK" w:hint="eastAsia"/>
                <w:spacing w:val="-4"/>
                <w:sz w:val="21"/>
                <w:szCs w:val="21"/>
              </w:rPr>
              <w:t>．加强信用监管，依法向社会公布种业企业信用状况，依法依规对失信主体开展失信惩戒。</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lastRenderedPageBreak/>
              <w:t>20</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农业农村部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省农业农村厅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种畜禽生产经营许可</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种畜禽生产经营许可证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《中华人民共和国畜牧法》</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县级以上地方农业农村部门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制作并公布告知承诺书格式文本，一次性告知申请人许可条件和所需材料。对申请人自愿承诺符合许可条件并按要求提交材料的，当场</w:t>
            </w:r>
            <w:proofErr w:type="gramStart"/>
            <w:r w:rsidRPr="00951F50">
              <w:rPr>
                <w:rFonts w:eastAsia="方正书宋_GBK" w:hint="eastAsia"/>
                <w:spacing w:val="-4"/>
                <w:sz w:val="21"/>
                <w:szCs w:val="21"/>
              </w:rPr>
              <w:t>作出</w:t>
            </w:r>
            <w:proofErr w:type="gramEnd"/>
            <w:r w:rsidRPr="00951F50">
              <w:rPr>
                <w:rFonts w:eastAsia="方正书宋_GBK" w:hint="eastAsia"/>
                <w:spacing w:val="-4"/>
                <w:sz w:val="21"/>
                <w:szCs w:val="21"/>
              </w:rPr>
              <w:t>许可决定。</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公开”监管，严肃查处虚假承诺行为。</w:t>
            </w:r>
            <w:r w:rsidRPr="00951F50">
              <w:rPr>
                <w:rFonts w:eastAsia="方正书宋_GBK" w:hint="eastAsia"/>
                <w:spacing w:val="-4"/>
                <w:sz w:val="21"/>
                <w:szCs w:val="21"/>
              </w:rPr>
              <w:t>2</w:t>
            </w:r>
            <w:r w:rsidRPr="00951F50">
              <w:rPr>
                <w:rFonts w:eastAsia="方正书宋_GBK" w:hint="eastAsia"/>
                <w:spacing w:val="-4"/>
                <w:sz w:val="21"/>
                <w:szCs w:val="21"/>
              </w:rPr>
              <w:t>．加强信用监管，依法向社会公布种业企业信用状况，依法依规对失信主体开展失信惩戒。</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t>21</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农业农村部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省农业农村厅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蜂种生产经营许可证核发</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蜂种生产经营许可证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《中华人民共和国畜牧法》</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县级以上地方农业农村部门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制作并公布告知承诺书格式文本，一次性告知申请人许可条件和所需材料。对申请人自愿承诺符合许可条件并按要求提交材料的，当场</w:t>
            </w:r>
            <w:proofErr w:type="gramStart"/>
            <w:r w:rsidRPr="00951F50">
              <w:rPr>
                <w:rFonts w:eastAsia="方正书宋_GBK" w:hint="eastAsia"/>
                <w:spacing w:val="-4"/>
                <w:sz w:val="21"/>
                <w:szCs w:val="21"/>
              </w:rPr>
              <w:t>作出</w:t>
            </w:r>
            <w:proofErr w:type="gramEnd"/>
            <w:r w:rsidRPr="00951F50">
              <w:rPr>
                <w:rFonts w:eastAsia="方正书宋_GBK" w:hint="eastAsia"/>
                <w:spacing w:val="-4"/>
                <w:sz w:val="21"/>
                <w:szCs w:val="21"/>
              </w:rPr>
              <w:t>许可决定。</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公开”监管，严肃查处虚假承诺行为。</w:t>
            </w:r>
            <w:r w:rsidRPr="00951F50">
              <w:rPr>
                <w:rFonts w:eastAsia="方正书宋_GBK" w:hint="eastAsia"/>
                <w:spacing w:val="-4"/>
                <w:sz w:val="21"/>
                <w:szCs w:val="21"/>
              </w:rPr>
              <w:t>2</w:t>
            </w:r>
            <w:r w:rsidRPr="00951F50">
              <w:rPr>
                <w:rFonts w:eastAsia="方正书宋_GBK" w:hint="eastAsia"/>
                <w:spacing w:val="-4"/>
                <w:sz w:val="21"/>
                <w:szCs w:val="21"/>
              </w:rPr>
              <w:t>．加强信用监管，依法向社会公布种业企业信用状况，依法依规对失信主体开展失信惩戒。</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t>22</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农业农村部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省农业农村厅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蚕种生产经营许可证核发</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蚕种生产经营许可证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《中华人民共和国畜牧法》</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县级以上地方农业农村部门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制作并公布告知承诺书格式文本，一次性告知申请人许可条件和所需材料。对申请人自愿承诺符合许可条件并按要求提交材料的，当场</w:t>
            </w:r>
            <w:proofErr w:type="gramStart"/>
            <w:r w:rsidRPr="00951F50">
              <w:rPr>
                <w:rFonts w:eastAsia="方正书宋_GBK" w:hint="eastAsia"/>
                <w:spacing w:val="-4"/>
                <w:sz w:val="21"/>
                <w:szCs w:val="21"/>
              </w:rPr>
              <w:t>作出</w:t>
            </w:r>
            <w:proofErr w:type="gramEnd"/>
            <w:r w:rsidRPr="00951F50">
              <w:rPr>
                <w:rFonts w:eastAsia="方正书宋_GBK" w:hint="eastAsia"/>
                <w:spacing w:val="-4"/>
                <w:sz w:val="21"/>
                <w:szCs w:val="21"/>
              </w:rPr>
              <w:t>许可决定。</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公开”监管，加强对企业承诺内容真实性的核查，发现虚假承诺或者承诺严重不实的要依法处理。</w:t>
            </w:r>
            <w:r w:rsidRPr="00951F50">
              <w:rPr>
                <w:rFonts w:eastAsia="方正书宋_GBK" w:hint="eastAsia"/>
                <w:spacing w:val="-4"/>
                <w:sz w:val="21"/>
                <w:szCs w:val="21"/>
              </w:rPr>
              <w:t>2</w:t>
            </w:r>
            <w:r w:rsidRPr="00951F50">
              <w:rPr>
                <w:rFonts w:eastAsia="方正书宋_GBK" w:hint="eastAsia"/>
                <w:spacing w:val="-4"/>
                <w:sz w:val="21"/>
                <w:szCs w:val="21"/>
              </w:rPr>
              <w:t>．加强信用监管，依法向社会公布种业企业信用状况，依法依规对失信主体开展失信惩戒。</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lastRenderedPageBreak/>
              <w:t>23</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农业农村部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省农业农村厅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渔业捕捞许可证审批</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渔业捕捞许可证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《中华人民共和国渔业法》</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县级以上农业农村（渔业）部门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制作并公布告知承诺书格式文本，一次性告知申请人许可条件和所需材料。对申请人自愿承诺符合许可条件并按要求提交材料的，当场</w:t>
            </w:r>
            <w:proofErr w:type="gramStart"/>
            <w:r w:rsidRPr="00951F50">
              <w:rPr>
                <w:rFonts w:eastAsia="方正书宋_GBK" w:hint="eastAsia"/>
                <w:spacing w:val="-4"/>
                <w:sz w:val="21"/>
                <w:szCs w:val="21"/>
              </w:rPr>
              <w:t>作出</w:t>
            </w:r>
            <w:proofErr w:type="gramEnd"/>
            <w:r w:rsidRPr="00951F50">
              <w:rPr>
                <w:rFonts w:eastAsia="方正书宋_GBK" w:hint="eastAsia"/>
                <w:spacing w:val="-4"/>
                <w:sz w:val="21"/>
                <w:szCs w:val="21"/>
              </w:rPr>
              <w:t>许可决定。</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．加强对企业承诺内容真实性的核查，发现虚假承诺或者承诺严重不实的要依法处理。</w:t>
            </w:r>
            <w:r w:rsidRPr="00951F50">
              <w:rPr>
                <w:rFonts w:eastAsia="方正书宋_GBK" w:hint="eastAsia"/>
                <w:spacing w:val="-4"/>
                <w:sz w:val="21"/>
                <w:szCs w:val="21"/>
              </w:rPr>
              <w:t>2</w:t>
            </w:r>
            <w:r w:rsidRPr="00951F50">
              <w:rPr>
                <w:rFonts w:eastAsia="方正书宋_GBK" w:hint="eastAsia"/>
                <w:spacing w:val="-4"/>
                <w:sz w:val="21"/>
                <w:szCs w:val="21"/>
              </w:rPr>
              <w:t>．开展“双随机、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公开”监管，及时处理投诉举报，依法查处违法违规行为。</w:t>
            </w:r>
            <w:r w:rsidRPr="00951F50">
              <w:rPr>
                <w:rFonts w:eastAsia="方正书宋_GBK" w:hint="eastAsia"/>
                <w:spacing w:val="-4"/>
                <w:sz w:val="21"/>
                <w:szCs w:val="21"/>
              </w:rPr>
              <w:t>3</w:t>
            </w:r>
            <w:r w:rsidRPr="00951F50">
              <w:rPr>
                <w:rFonts w:eastAsia="方正书宋_GBK" w:hint="eastAsia"/>
                <w:spacing w:val="-4"/>
                <w:sz w:val="21"/>
                <w:szCs w:val="21"/>
              </w:rPr>
              <w:t>．加强信用监管。</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t>24</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农业农村部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省农业农村厅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生鲜乳准运证明核发</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生鲜乳准运证明</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《乳品质量安全监督管理条例》</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县级农业农村（畜牧兽医）部门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制作并公布告知承诺书格式文本，一次性告知申请人许可条件和所需材料。对申请人自愿承诺符合许可条件并按要求提交材料的，当场</w:t>
            </w:r>
            <w:proofErr w:type="gramStart"/>
            <w:r w:rsidRPr="00951F50">
              <w:rPr>
                <w:rFonts w:eastAsia="方正书宋_GBK" w:hint="eastAsia"/>
                <w:spacing w:val="-4"/>
                <w:sz w:val="21"/>
                <w:szCs w:val="21"/>
              </w:rPr>
              <w:t>作出</w:t>
            </w:r>
            <w:proofErr w:type="gramEnd"/>
            <w:r w:rsidRPr="00951F50">
              <w:rPr>
                <w:rFonts w:eastAsia="方正书宋_GBK" w:hint="eastAsia"/>
                <w:spacing w:val="-4"/>
                <w:sz w:val="21"/>
                <w:szCs w:val="21"/>
              </w:rPr>
              <w:t>许可决定。</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公开”监管，发现违法违规行为要依法查处并公开结果。</w:t>
            </w:r>
            <w:r w:rsidRPr="00951F50">
              <w:rPr>
                <w:rFonts w:eastAsia="方正书宋_GBK" w:hint="eastAsia"/>
                <w:spacing w:val="-4"/>
                <w:sz w:val="21"/>
                <w:szCs w:val="21"/>
              </w:rPr>
              <w:t>2</w:t>
            </w:r>
            <w:r w:rsidRPr="00951F50">
              <w:rPr>
                <w:rFonts w:eastAsia="方正书宋_GBK" w:hint="eastAsia"/>
                <w:spacing w:val="-4"/>
                <w:sz w:val="21"/>
                <w:szCs w:val="21"/>
              </w:rPr>
              <w:t>．加强对生鲜乳运输车辆的监管，将车辆全部纳入监管监测信息系统，实时掌握运营情况。</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t>25</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农业农村部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省农业农村厅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兽药经营许可证核发（非生物制品类）</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兽药经营许可证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《兽药管理条例》</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设区的市、县级农业农村部门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制作并公布告知承诺书格式文本，一次性告知申请人许可条件和所需材料。对申请人自愿承诺符合许可条件并按要求提交材料的，当场</w:t>
            </w:r>
            <w:proofErr w:type="gramStart"/>
            <w:r w:rsidRPr="00951F50">
              <w:rPr>
                <w:rFonts w:eastAsia="方正书宋_GBK" w:hint="eastAsia"/>
                <w:spacing w:val="-4"/>
                <w:sz w:val="21"/>
                <w:szCs w:val="21"/>
              </w:rPr>
              <w:t>作出</w:t>
            </w:r>
            <w:proofErr w:type="gramEnd"/>
            <w:r w:rsidRPr="00951F50">
              <w:rPr>
                <w:rFonts w:eastAsia="方正书宋_GBK" w:hint="eastAsia"/>
                <w:spacing w:val="-4"/>
                <w:sz w:val="21"/>
                <w:szCs w:val="21"/>
              </w:rPr>
              <w:t>许可决定。</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．对以告知承诺方式取得经营许可证的企业，加强对其承诺内容真实性的核查，发现虚假承诺或承诺严重不实的要依法处理。</w:t>
            </w:r>
            <w:r w:rsidRPr="00951F50">
              <w:rPr>
                <w:rFonts w:eastAsia="方正书宋_GBK" w:hint="eastAsia"/>
                <w:spacing w:val="-4"/>
                <w:sz w:val="21"/>
                <w:szCs w:val="21"/>
              </w:rPr>
              <w:t>2</w:t>
            </w:r>
            <w:r w:rsidRPr="00951F50">
              <w:rPr>
                <w:rFonts w:eastAsia="方正书宋_GBK" w:hint="eastAsia"/>
                <w:spacing w:val="-4"/>
                <w:sz w:val="21"/>
                <w:szCs w:val="21"/>
              </w:rPr>
              <w:t>．开展“双随机、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公开”监管，对风险等级高、投诉举报多的企业增加抽检数量和频次，实施重点监管。</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lastRenderedPageBreak/>
              <w:t>26</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农业农村部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省农业农村厅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动物诊疗许可证核发</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动物诊疗许可证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《中华人民共和国动物防疫法》</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县级以上地方农业农村部门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制作并公布告知承诺书格式文本，一次性告知申请人许可条件和所需材料。对申请人自愿承诺符合许可条件并按要求提交材料的，当场</w:t>
            </w:r>
            <w:proofErr w:type="gramStart"/>
            <w:r w:rsidRPr="00951F50">
              <w:rPr>
                <w:rFonts w:eastAsia="方正书宋_GBK" w:hint="eastAsia"/>
                <w:spacing w:val="-4"/>
                <w:sz w:val="21"/>
                <w:szCs w:val="21"/>
              </w:rPr>
              <w:t>作出</w:t>
            </w:r>
            <w:proofErr w:type="gramEnd"/>
            <w:r w:rsidRPr="00951F50">
              <w:rPr>
                <w:rFonts w:eastAsia="方正书宋_GBK" w:hint="eastAsia"/>
                <w:spacing w:val="-4"/>
                <w:sz w:val="21"/>
                <w:szCs w:val="21"/>
              </w:rPr>
              <w:t>许可决定。</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公开”监管，发现违法违规行为要依法查处并公开结果。</w:t>
            </w:r>
            <w:r w:rsidRPr="00951F50">
              <w:rPr>
                <w:rFonts w:eastAsia="方正书宋_GBK" w:hint="eastAsia"/>
                <w:spacing w:val="-4"/>
                <w:sz w:val="21"/>
                <w:szCs w:val="21"/>
              </w:rPr>
              <w:t>2</w:t>
            </w:r>
            <w:r w:rsidRPr="00951F50">
              <w:rPr>
                <w:rFonts w:eastAsia="方正书宋_GBK" w:hint="eastAsia"/>
                <w:spacing w:val="-4"/>
                <w:sz w:val="21"/>
                <w:szCs w:val="21"/>
              </w:rPr>
              <w:t>．对以告知承诺方式取得经营许可证的企业，加强对其承诺内容真实性的核查，发现虚假承诺或承诺严重不实的要依法处理。</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t>27</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农业农村部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省农业农村厅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水产苗种场（不含原种场）的水产苗种生产许可证核发</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水产苗种生产许可证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《中华人民共和国渔业法》</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设区的市、县级农业农村（渔业）部门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制作并公布告知承诺书格式文本，一次性告知申请人许可条件和所需材料。对申请人自愿承诺符合许可条件并按要求提交材料的，当场</w:t>
            </w:r>
            <w:proofErr w:type="gramStart"/>
            <w:r w:rsidRPr="00951F50">
              <w:rPr>
                <w:rFonts w:eastAsia="方正书宋_GBK" w:hint="eastAsia"/>
                <w:spacing w:val="-4"/>
                <w:sz w:val="21"/>
                <w:szCs w:val="21"/>
              </w:rPr>
              <w:t>作出</w:t>
            </w:r>
            <w:proofErr w:type="gramEnd"/>
            <w:r w:rsidRPr="00951F50">
              <w:rPr>
                <w:rFonts w:eastAsia="方正书宋_GBK" w:hint="eastAsia"/>
                <w:spacing w:val="-4"/>
                <w:sz w:val="21"/>
                <w:szCs w:val="21"/>
              </w:rPr>
              <w:t>许可决定。</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．加强对企业承诺内容真实性的核查，发现虚假承诺或者承诺严重不实的要依法处理。</w:t>
            </w:r>
            <w:r w:rsidRPr="00951F50">
              <w:rPr>
                <w:rFonts w:eastAsia="方正书宋_GBK" w:hint="eastAsia"/>
                <w:spacing w:val="-4"/>
                <w:sz w:val="21"/>
                <w:szCs w:val="21"/>
              </w:rPr>
              <w:t>2</w:t>
            </w:r>
            <w:r w:rsidRPr="00951F50">
              <w:rPr>
                <w:rFonts w:eastAsia="方正书宋_GBK" w:hint="eastAsia"/>
                <w:spacing w:val="-4"/>
                <w:sz w:val="21"/>
                <w:szCs w:val="21"/>
              </w:rPr>
              <w:t>．开展“双随机、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公开”监管，及时处理投诉举报，依法查处违法违规行为。</w:t>
            </w:r>
            <w:r w:rsidRPr="00951F50">
              <w:rPr>
                <w:rFonts w:eastAsia="方正书宋_GBK" w:hint="eastAsia"/>
                <w:spacing w:val="-4"/>
                <w:sz w:val="21"/>
                <w:szCs w:val="21"/>
              </w:rPr>
              <w:t>3</w:t>
            </w:r>
            <w:r w:rsidRPr="00951F50">
              <w:rPr>
                <w:rFonts w:eastAsia="方正书宋_GBK" w:hint="eastAsia"/>
                <w:spacing w:val="-4"/>
                <w:sz w:val="21"/>
                <w:szCs w:val="21"/>
              </w:rPr>
              <w:t>．加强信用监管。</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t>28</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文化和旅游部</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省文化和旅游厅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旅行社设立许可</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旅行社业务经营许可证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《中华人民共和国旅游法》《旅行社条例》</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省、设区的市级文化和旅游部门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制作并公布告知承诺书格式文本，一次性告知申请人许可条件和所需材料。对申请人自愿承诺符合许可条件并按要求提交材料的，当场</w:t>
            </w:r>
            <w:proofErr w:type="gramStart"/>
            <w:r w:rsidRPr="00951F50">
              <w:rPr>
                <w:rFonts w:eastAsia="方正书宋_GBK" w:hint="eastAsia"/>
                <w:spacing w:val="-4"/>
                <w:sz w:val="21"/>
                <w:szCs w:val="21"/>
              </w:rPr>
              <w:t>作出</w:t>
            </w:r>
            <w:proofErr w:type="gramEnd"/>
            <w:r w:rsidRPr="00951F50">
              <w:rPr>
                <w:rFonts w:eastAsia="方正书宋_GBK" w:hint="eastAsia"/>
                <w:spacing w:val="-4"/>
                <w:sz w:val="21"/>
                <w:szCs w:val="21"/>
              </w:rPr>
              <w:t>许可决定。</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公开”监管，发现未经许可经营旅行社业务，出租、出借、转让业务经营许可证等违法违规行为的，要依法查处并公开结果。</w:t>
            </w:r>
            <w:r w:rsidRPr="00951F50">
              <w:rPr>
                <w:rFonts w:eastAsia="方正书宋_GBK" w:hint="eastAsia"/>
                <w:spacing w:val="-4"/>
                <w:sz w:val="21"/>
                <w:szCs w:val="21"/>
              </w:rPr>
              <w:t>2</w:t>
            </w:r>
            <w:r w:rsidRPr="00951F50">
              <w:rPr>
                <w:rFonts w:eastAsia="方正书宋_GBK" w:hint="eastAsia"/>
                <w:spacing w:val="-4"/>
                <w:sz w:val="21"/>
                <w:szCs w:val="21"/>
              </w:rPr>
              <w:t>．加强信用监管，依法依规对失信主体开展失信惩戒。</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lastRenderedPageBreak/>
              <w:t>29</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proofErr w:type="gramStart"/>
            <w:r w:rsidRPr="00951F50">
              <w:rPr>
                <w:rFonts w:eastAsia="方正书宋_GBK" w:hint="eastAsia"/>
                <w:spacing w:val="-4"/>
                <w:sz w:val="21"/>
                <w:szCs w:val="21"/>
              </w:rPr>
              <w:t>应急部</w:t>
            </w:r>
            <w:proofErr w:type="gramEnd"/>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省应急厅</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危险化学品（无储存）经营许可证核发</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危险化学品经营许可证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《危险化学品安全管理条例》</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设区的市、县级应急管理部门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制作并公布告知承诺书格式文本，一次性告知申请人许可条件和所需材料。对申请人自愿承诺符合许可条件并按要求提交材料的，当场</w:t>
            </w:r>
            <w:proofErr w:type="gramStart"/>
            <w:r w:rsidRPr="00951F50">
              <w:rPr>
                <w:rFonts w:eastAsia="方正书宋_GBK" w:hint="eastAsia"/>
                <w:spacing w:val="-4"/>
                <w:sz w:val="21"/>
                <w:szCs w:val="21"/>
              </w:rPr>
              <w:t>作出</w:t>
            </w:r>
            <w:proofErr w:type="gramEnd"/>
            <w:r w:rsidRPr="00951F50">
              <w:rPr>
                <w:rFonts w:eastAsia="方正书宋_GBK" w:hint="eastAsia"/>
                <w:spacing w:val="-4"/>
                <w:sz w:val="21"/>
                <w:szCs w:val="21"/>
              </w:rPr>
              <w:t>许可决定。</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公开”监管，发现违法违规行为要依法查处并公开结果。</w:t>
            </w:r>
            <w:r w:rsidRPr="00951F50">
              <w:rPr>
                <w:rFonts w:eastAsia="方正书宋_GBK" w:hint="eastAsia"/>
                <w:spacing w:val="-4"/>
                <w:sz w:val="21"/>
                <w:szCs w:val="21"/>
              </w:rPr>
              <w:t>2</w:t>
            </w:r>
            <w:r w:rsidRPr="00951F50">
              <w:rPr>
                <w:rFonts w:eastAsia="方正书宋_GBK" w:hint="eastAsia"/>
                <w:spacing w:val="-4"/>
                <w:sz w:val="21"/>
                <w:szCs w:val="21"/>
              </w:rPr>
              <w:t>．加强信用监管，依法向社会公布危险化学品经营企业信用状况，依法依规对失信主体开展失信惩戒。</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t>30</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市场监管总局</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省市场监管局</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食品生产许可</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食品生产许可证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《中华人民共和国食品安全法》</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县级以上地方市场监管部门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制作并公布告知承诺书格式文本，一次性告知申请人许可条件和所需材料。对申请人自愿承诺符合许可条件并按要求提交材料的，当场</w:t>
            </w:r>
            <w:proofErr w:type="gramStart"/>
            <w:r w:rsidRPr="00951F50">
              <w:rPr>
                <w:rFonts w:eastAsia="方正书宋_GBK" w:hint="eastAsia"/>
                <w:spacing w:val="-4"/>
                <w:sz w:val="21"/>
                <w:szCs w:val="21"/>
              </w:rPr>
              <w:t>作出</w:t>
            </w:r>
            <w:proofErr w:type="gramEnd"/>
            <w:r w:rsidRPr="00951F50">
              <w:rPr>
                <w:rFonts w:eastAsia="方正书宋_GBK" w:hint="eastAsia"/>
                <w:spacing w:val="-4"/>
                <w:sz w:val="21"/>
                <w:szCs w:val="21"/>
              </w:rPr>
              <w:t>许可决定。</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在发放许可证后</w:t>
            </w:r>
            <w:r w:rsidRPr="00951F50">
              <w:rPr>
                <w:rFonts w:eastAsia="方正书宋_GBK" w:hint="eastAsia"/>
                <w:spacing w:val="-4"/>
                <w:sz w:val="21"/>
                <w:szCs w:val="21"/>
              </w:rPr>
              <w:t>30</w:t>
            </w:r>
            <w:r w:rsidRPr="00951F50">
              <w:rPr>
                <w:rFonts w:eastAsia="方正书宋_GBK" w:hint="eastAsia"/>
                <w:spacing w:val="-4"/>
                <w:sz w:val="21"/>
                <w:szCs w:val="21"/>
              </w:rPr>
              <w:t>个工作日内对食品生产主体实施监督检查，对检查发现不能保证食品安全的企业撤销食品生产许可，对违法违规企业依法查处。</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t>31</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体育总局</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省体育局</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经营高危险性体育项目许可</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经营高危险性体育项目许可证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《全民健身条例》</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县级以上地方体育部门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制作并公布告知承诺书格式文本，一次性告知申请人许可条件和所需材料。对申请人自愿承诺符合许可条件并按要求提交材料的，当场</w:t>
            </w:r>
            <w:proofErr w:type="gramStart"/>
            <w:r w:rsidRPr="00951F50">
              <w:rPr>
                <w:rFonts w:eastAsia="方正书宋_GBK" w:hint="eastAsia"/>
                <w:spacing w:val="-4"/>
                <w:sz w:val="21"/>
                <w:szCs w:val="21"/>
              </w:rPr>
              <w:t>作出</w:t>
            </w:r>
            <w:proofErr w:type="gramEnd"/>
            <w:r w:rsidRPr="00951F50">
              <w:rPr>
                <w:rFonts w:eastAsia="方正书宋_GBK" w:hint="eastAsia"/>
                <w:spacing w:val="-4"/>
                <w:sz w:val="21"/>
                <w:szCs w:val="21"/>
              </w:rPr>
              <w:t>许可决定。</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公开”监管，发现违法违规行为要依法查处并公开结果。</w:t>
            </w:r>
            <w:r w:rsidRPr="00951F50">
              <w:rPr>
                <w:rFonts w:eastAsia="方正书宋_GBK" w:hint="eastAsia"/>
                <w:spacing w:val="-4"/>
                <w:sz w:val="21"/>
                <w:szCs w:val="21"/>
              </w:rPr>
              <w:t>2</w:t>
            </w:r>
            <w:r w:rsidRPr="00951F50">
              <w:rPr>
                <w:rFonts w:eastAsia="方正书宋_GBK" w:hint="eastAsia"/>
                <w:spacing w:val="-4"/>
                <w:sz w:val="21"/>
                <w:szCs w:val="21"/>
              </w:rPr>
              <w:t>．建立</w:t>
            </w:r>
            <w:proofErr w:type="gramStart"/>
            <w:r w:rsidRPr="00951F50">
              <w:rPr>
                <w:rFonts w:eastAsia="方正书宋_GBK" w:hint="eastAsia"/>
                <w:spacing w:val="-4"/>
                <w:sz w:val="21"/>
                <w:szCs w:val="21"/>
              </w:rPr>
              <w:t>健全跨</w:t>
            </w:r>
            <w:proofErr w:type="gramEnd"/>
            <w:r w:rsidRPr="00951F50">
              <w:rPr>
                <w:rFonts w:eastAsia="方正书宋_GBK" w:hint="eastAsia"/>
                <w:spacing w:val="-4"/>
                <w:sz w:val="21"/>
                <w:szCs w:val="21"/>
              </w:rPr>
              <w:t>区域、跨层级、跨部门协同监管制度，推进联合执法。</w:t>
            </w:r>
            <w:r w:rsidRPr="00951F50">
              <w:rPr>
                <w:rFonts w:eastAsia="方正书宋_GBK" w:hint="eastAsia"/>
                <w:spacing w:val="-4"/>
                <w:sz w:val="21"/>
                <w:szCs w:val="21"/>
              </w:rPr>
              <w:t>3</w:t>
            </w:r>
            <w:r w:rsidRPr="00951F50">
              <w:rPr>
                <w:rFonts w:eastAsia="方正书宋_GBK" w:hint="eastAsia"/>
                <w:spacing w:val="-4"/>
                <w:sz w:val="21"/>
                <w:szCs w:val="21"/>
              </w:rPr>
              <w:t>．加强信用监管，将有严重违法违规行为的机构列入黑名单，依法依规对有关经营主体和从业人员实施信用约束和失信惩戒。</w:t>
            </w:r>
          </w:p>
        </w:tc>
      </w:tr>
      <w:tr w:rsidR="00673BCA" w:rsidRPr="00951F50" w:rsidTr="00372E1E">
        <w:trPr>
          <w:gridAfter w:val="1"/>
          <w:wAfter w:w="134" w:type="dxa"/>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spacing w:val="-4"/>
                <w:sz w:val="21"/>
                <w:szCs w:val="21"/>
              </w:rPr>
            </w:pPr>
            <w:r w:rsidRPr="00951F50">
              <w:rPr>
                <w:rFonts w:eastAsia="方正书宋_GBK" w:hint="eastAsia"/>
                <w:spacing w:val="-4"/>
                <w:sz w:val="21"/>
                <w:szCs w:val="21"/>
              </w:rPr>
              <w:lastRenderedPageBreak/>
              <w:t>32</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新闻出版署</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省新闻出版局</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出版物零售个体工商户设立、变更审批</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出版物经营许可证</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《出版管理条例》</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县级新闻出版部门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制作并公布告知承诺书格式文本，一次性告知申请人许可条件和所需材料。对申请人自愿承诺符合许可条件并按要求提交材料的，当场</w:t>
            </w:r>
            <w:proofErr w:type="gramStart"/>
            <w:r w:rsidRPr="00951F50">
              <w:rPr>
                <w:rFonts w:eastAsia="方正书宋_GBK" w:hint="eastAsia"/>
                <w:spacing w:val="-4"/>
                <w:sz w:val="21"/>
                <w:szCs w:val="21"/>
              </w:rPr>
              <w:t>作出</w:t>
            </w:r>
            <w:proofErr w:type="gramEnd"/>
            <w:r w:rsidRPr="00951F50">
              <w:rPr>
                <w:rFonts w:eastAsia="方正书宋_GBK" w:hint="eastAsia"/>
                <w:spacing w:val="-4"/>
                <w:sz w:val="21"/>
                <w:szCs w:val="21"/>
              </w:rPr>
              <w:t>许可决定。</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．开展“双随机、</w:t>
            </w:r>
            <w:proofErr w:type="gramStart"/>
            <w:r w:rsidRPr="00951F50">
              <w:rPr>
                <w:rFonts w:eastAsia="方正书宋_GBK" w:hint="eastAsia"/>
                <w:spacing w:val="-4"/>
                <w:sz w:val="21"/>
                <w:szCs w:val="21"/>
              </w:rPr>
              <w:t>一</w:t>
            </w:r>
            <w:proofErr w:type="gramEnd"/>
            <w:r w:rsidRPr="00951F50">
              <w:rPr>
                <w:rFonts w:eastAsia="方正书宋_GBK" w:hint="eastAsia"/>
                <w:spacing w:val="-4"/>
                <w:sz w:val="21"/>
                <w:szCs w:val="21"/>
              </w:rPr>
              <w:t>公开”监管，发现违法违规行为要依法查处并公开结果。</w:t>
            </w:r>
            <w:r w:rsidRPr="00951F50">
              <w:rPr>
                <w:rFonts w:eastAsia="方正书宋_GBK" w:hint="eastAsia"/>
                <w:spacing w:val="-4"/>
                <w:sz w:val="21"/>
                <w:szCs w:val="21"/>
              </w:rPr>
              <w:t>2</w:t>
            </w:r>
            <w:r w:rsidRPr="00951F50">
              <w:rPr>
                <w:rFonts w:eastAsia="方正书宋_GBK" w:hint="eastAsia"/>
                <w:spacing w:val="-4"/>
                <w:sz w:val="21"/>
                <w:szCs w:val="21"/>
              </w:rPr>
              <w:t>．发现企业不符合承诺条件开展经营的责令限期整改，逾期不整改或整改后仍达不到要求的依法撤销许可证件。</w:t>
            </w:r>
            <w:r w:rsidRPr="00951F50">
              <w:rPr>
                <w:rFonts w:eastAsia="方正书宋_GBK" w:hint="eastAsia"/>
                <w:spacing w:val="-4"/>
                <w:sz w:val="21"/>
                <w:szCs w:val="21"/>
              </w:rPr>
              <w:t>3</w:t>
            </w:r>
            <w:r w:rsidRPr="00951F50">
              <w:rPr>
                <w:rFonts w:eastAsia="方正书宋_GBK" w:hint="eastAsia"/>
                <w:spacing w:val="-4"/>
                <w:sz w:val="21"/>
                <w:szCs w:val="21"/>
              </w:rPr>
              <w:t>．依法及时处理投诉举报。</w:t>
            </w:r>
          </w:p>
        </w:tc>
      </w:tr>
      <w:tr w:rsidR="00673BCA" w:rsidRPr="00951F50" w:rsidTr="00372E1E">
        <w:trPr>
          <w:cantSplit/>
        </w:trPr>
        <w:tc>
          <w:tcPr>
            <w:tcW w:w="337" w:type="dxa"/>
            <w:shd w:val="clear" w:color="auto" w:fill="auto"/>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33</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国家文物局</w:t>
            </w:r>
          </w:p>
        </w:tc>
        <w:tc>
          <w:tcPr>
            <w:tcW w:w="100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省文物局</w:t>
            </w:r>
          </w:p>
        </w:tc>
        <w:tc>
          <w:tcPr>
            <w:tcW w:w="119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文物商店设立审批</w:t>
            </w:r>
          </w:p>
        </w:tc>
        <w:tc>
          <w:tcPr>
            <w:tcW w:w="980"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批准文件</w:t>
            </w:r>
          </w:p>
        </w:tc>
        <w:tc>
          <w:tcPr>
            <w:tcW w:w="128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《中华人民共和国文物保护法》</w:t>
            </w:r>
          </w:p>
        </w:tc>
        <w:tc>
          <w:tcPr>
            <w:tcW w:w="1147"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省级文物部门</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r w:rsidRPr="00951F50">
              <w:rPr>
                <w:rFonts w:eastAsia="方正书宋_GBK" w:hint="eastAsia"/>
                <w:spacing w:val="-4"/>
                <w:sz w:val="21"/>
                <w:szCs w:val="21"/>
              </w:rPr>
              <w:t>√</w:t>
            </w:r>
          </w:p>
        </w:tc>
        <w:tc>
          <w:tcPr>
            <w:tcW w:w="553" w:type="dxa"/>
            <w:shd w:val="clear" w:color="000000" w:fill="FFFFFF"/>
            <w:tcMar>
              <w:left w:w="57" w:type="dxa"/>
              <w:right w:w="57" w:type="dxa"/>
            </w:tcMar>
            <w:vAlign w:val="center"/>
          </w:tcPr>
          <w:p w:rsidR="00673BCA" w:rsidRPr="00951F50" w:rsidRDefault="00673BCA" w:rsidP="00372E1E">
            <w:pPr>
              <w:jc w:val="center"/>
              <w:rPr>
                <w:rFonts w:eastAsia="方正书宋_GBK" w:hint="eastAsia"/>
                <w:spacing w:val="-4"/>
                <w:sz w:val="21"/>
                <w:szCs w:val="21"/>
              </w:rPr>
            </w:pPr>
          </w:p>
        </w:tc>
        <w:tc>
          <w:tcPr>
            <w:tcW w:w="2198"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制作并公布告知承诺书格式文本，一次性告知申请人许可条件和所需材料。对申请人自愿承诺符合许可条件并按要求提交材料的，当场</w:t>
            </w:r>
            <w:proofErr w:type="gramStart"/>
            <w:r w:rsidRPr="00951F50">
              <w:rPr>
                <w:rFonts w:eastAsia="方正书宋_GBK" w:hint="eastAsia"/>
                <w:spacing w:val="-4"/>
                <w:sz w:val="21"/>
                <w:szCs w:val="21"/>
              </w:rPr>
              <w:t>作出</w:t>
            </w:r>
            <w:proofErr w:type="gramEnd"/>
            <w:r w:rsidRPr="00951F50">
              <w:rPr>
                <w:rFonts w:eastAsia="方正书宋_GBK" w:hint="eastAsia"/>
                <w:spacing w:val="-4"/>
                <w:sz w:val="21"/>
                <w:szCs w:val="21"/>
              </w:rPr>
              <w:t>许可决定。</w:t>
            </w:r>
          </w:p>
        </w:tc>
        <w:tc>
          <w:tcPr>
            <w:tcW w:w="3389" w:type="dxa"/>
            <w:shd w:val="clear" w:color="000000" w:fill="FFFFFF"/>
            <w:tcMar>
              <w:left w:w="57" w:type="dxa"/>
              <w:right w:w="57" w:type="dxa"/>
            </w:tcMar>
            <w:vAlign w:val="center"/>
          </w:tcPr>
          <w:p w:rsidR="00673BCA" w:rsidRPr="00951F50" w:rsidRDefault="00673BCA" w:rsidP="00372E1E">
            <w:pPr>
              <w:rPr>
                <w:rFonts w:eastAsia="方正书宋_GBK" w:hint="eastAsia"/>
                <w:spacing w:val="-4"/>
                <w:sz w:val="21"/>
                <w:szCs w:val="21"/>
              </w:rPr>
            </w:pPr>
            <w:r w:rsidRPr="00951F50">
              <w:rPr>
                <w:rFonts w:eastAsia="方正书宋_GBK" w:hint="eastAsia"/>
                <w:spacing w:val="-4"/>
                <w:sz w:val="21"/>
                <w:szCs w:val="21"/>
              </w:rPr>
              <w:t>1</w:t>
            </w:r>
            <w:r w:rsidRPr="00951F50">
              <w:rPr>
                <w:rFonts w:eastAsia="方正书宋_GBK" w:hint="eastAsia"/>
                <w:spacing w:val="-4"/>
                <w:sz w:val="21"/>
                <w:szCs w:val="21"/>
              </w:rPr>
              <w:t>．加强对文物商店经营活动的日常巡查和随机抽查，发现问题及时依法处理。</w:t>
            </w:r>
            <w:r w:rsidRPr="00951F50">
              <w:rPr>
                <w:rFonts w:eastAsia="方正书宋_GBK" w:hint="eastAsia"/>
                <w:spacing w:val="-4"/>
                <w:sz w:val="21"/>
                <w:szCs w:val="21"/>
              </w:rPr>
              <w:t>2</w:t>
            </w:r>
            <w:r w:rsidRPr="00951F50">
              <w:rPr>
                <w:rFonts w:eastAsia="方正书宋_GBK" w:hint="eastAsia"/>
                <w:spacing w:val="-4"/>
                <w:sz w:val="21"/>
                <w:szCs w:val="21"/>
              </w:rPr>
              <w:t>．开展文物购销记录信息抽检。</w:t>
            </w:r>
            <w:r w:rsidRPr="00951F50">
              <w:rPr>
                <w:rFonts w:eastAsia="方正书宋_GBK" w:hint="eastAsia"/>
                <w:spacing w:val="-4"/>
                <w:sz w:val="21"/>
                <w:szCs w:val="21"/>
              </w:rPr>
              <w:t>3</w:t>
            </w:r>
            <w:r w:rsidRPr="00951F50">
              <w:rPr>
                <w:rFonts w:eastAsia="方正书宋_GBK" w:hint="eastAsia"/>
                <w:spacing w:val="-4"/>
                <w:sz w:val="21"/>
                <w:szCs w:val="21"/>
              </w:rPr>
              <w:t>．公开文物商店名录，接受社会监督，依法及时处理投诉举报。</w:t>
            </w:r>
          </w:p>
        </w:tc>
        <w:tc>
          <w:tcPr>
            <w:tcW w:w="134" w:type="dxa"/>
            <w:tcMar>
              <w:left w:w="57" w:type="dxa"/>
              <w:right w:w="57" w:type="dxa"/>
            </w:tcMar>
            <w:vAlign w:val="center"/>
          </w:tcPr>
          <w:p w:rsidR="00673BCA" w:rsidRPr="00951F50" w:rsidRDefault="00673BCA" w:rsidP="00372E1E">
            <w:pPr>
              <w:rPr>
                <w:rFonts w:eastAsia="方正书宋_GBK"/>
                <w:spacing w:val="-4"/>
                <w:sz w:val="21"/>
                <w:szCs w:val="21"/>
              </w:rPr>
            </w:pPr>
          </w:p>
        </w:tc>
      </w:tr>
    </w:tbl>
    <w:p w:rsidR="00FE5451" w:rsidRPr="00673BCA" w:rsidRDefault="00FE5451"/>
    <w:sectPr w:rsidR="00FE5451" w:rsidRPr="00673BCA" w:rsidSect="00673BCA">
      <w:pgSz w:w="16838" w:h="11906" w:orient="landscape"/>
      <w:pgMar w:top="720" w:right="720" w:bottom="720" w:left="720"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BCA" w:rsidRDefault="00673BCA" w:rsidP="00673BCA">
      <w:r>
        <w:separator/>
      </w:r>
    </w:p>
  </w:endnote>
  <w:endnote w:type="continuationSeparator" w:id="0">
    <w:p w:rsidR="00673BCA" w:rsidRDefault="00673BCA" w:rsidP="0067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BCA" w:rsidRDefault="00673BCA" w:rsidP="00673BCA">
      <w:r>
        <w:separator/>
      </w:r>
    </w:p>
  </w:footnote>
  <w:footnote w:type="continuationSeparator" w:id="0">
    <w:p w:rsidR="00673BCA" w:rsidRDefault="00673BCA" w:rsidP="00673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5C"/>
    <w:rsid w:val="005E305C"/>
    <w:rsid w:val="00673BCA"/>
    <w:rsid w:val="00FE5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BCA"/>
    <w:pPr>
      <w:widowControl w:val="0"/>
      <w:jc w:val="both"/>
    </w:pPr>
    <w:rPr>
      <w:rFonts w:ascii="Times New Roman" w:eastAsia="方正仿宋简体"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3B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3BCA"/>
    <w:rPr>
      <w:sz w:val="18"/>
      <w:szCs w:val="18"/>
    </w:rPr>
  </w:style>
  <w:style w:type="paragraph" w:styleId="a4">
    <w:name w:val="footer"/>
    <w:basedOn w:val="a"/>
    <w:link w:val="Char0"/>
    <w:uiPriority w:val="99"/>
    <w:unhideWhenUsed/>
    <w:rsid w:val="00673B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3B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BCA"/>
    <w:pPr>
      <w:widowControl w:val="0"/>
      <w:jc w:val="both"/>
    </w:pPr>
    <w:rPr>
      <w:rFonts w:ascii="Times New Roman" w:eastAsia="方正仿宋简体"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3B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3BCA"/>
    <w:rPr>
      <w:sz w:val="18"/>
      <w:szCs w:val="18"/>
    </w:rPr>
  </w:style>
  <w:style w:type="paragraph" w:styleId="a4">
    <w:name w:val="footer"/>
    <w:basedOn w:val="a"/>
    <w:link w:val="Char0"/>
    <w:uiPriority w:val="99"/>
    <w:unhideWhenUsed/>
    <w:rsid w:val="00673B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3B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1200</Words>
  <Characters>6840</Characters>
  <Application>Microsoft Office Word</Application>
  <DocSecurity>0</DocSecurity>
  <Lines>57</Lines>
  <Paragraphs>16</Paragraphs>
  <ScaleCrop>false</ScaleCrop>
  <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zfwmoban</dc:creator>
  <cp:keywords/>
  <dc:description/>
  <cp:lastModifiedBy>zfwmoban</cp:lastModifiedBy>
  <cp:revision>2</cp:revision>
  <dcterms:created xsi:type="dcterms:W3CDTF">2022-01-29T08:56:00Z</dcterms:created>
  <dcterms:modified xsi:type="dcterms:W3CDTF">2022-01-29T08:57:00Z</dcterms:modified>
</cp:coreProperties>
</file>