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A4704">
      <w:pPr>
        <w:pStyle w:val="199"/>
        <w:widowControl w:val="0"/>
        <w:topLinePunct w:val="0"/>
        <w:spacing w:line="300" w:lineRule="auto"/>
        <w:rPr>
          <w:rFonts w:ascii="Times New Roman" w:hAnsi="Times New Roman" w:eastAsia="方正小标宋简体"/>
          <w:bCs/>
          <w:kern w:val="2"/>
          <w:szCs w:val="20"/>
        </w:rPr>
      </w:pPr>
    </w:p>
    <w:p w14:paraId="54073937">
      <w:pPr>
        <w:pStyle w:val="199"/>
        <w:widowControl w:val="0"/>
        <w:topLinePunct w:val="0"/>
        <w:spacing w:line="300" w:lineRule="auto"/>
        <w:rPr>
          <w:rFonts w:ascii="Times New Roman" w:hAnsi="Times New Roman" w:eastAsia="方正小标宋简体"/>
          <w:bCs/>
          <w:kern w:val="2"/>
          <w:szCs w:val="20"/>
        </w:rPr>
      </w:pPr>
    </w:p>
    <w:p w14:paraId="6186BB7F">
      <w:pPr>
        <w:spacing w:line="300" w:lineRule="auto"/>
        <w:jc w:val="distribute"/>
        <w:rPr>
          <w:rFonts w:eastAsia="方正小标宋_GBK"/>
          <w:b/>
          <w:color w:val="FF0000"/>
          <w:w w:val="50"/>
          <w:sz w:val="128"/>
        </w:rPr>
      </w:pPr>
      <w:r>
        <w:rPr>
          <w:rFonts w:hint="eastAsia" w:eastAsia="方正小标宋_GBK"/>
          <w:b/>
          <w:color w:val="FF0000"/>
          <w:w w:val="50"/>
          <w:sz w:val="128"/>
        </w:rPr>
        <w:t>南京市人民政府办公厅文件</w:t>
      </w:r>
    </w:p>
    <w:tbl>
      <w:tblPr>
        <w:tblStyle w:val="41"/>
        <w:tblW w:w="9151" w:type="dxa"/>
        <w:jc w:val="center"/>
        <w:tblBorders>
          <w:top w:val="none" w:color="auto" w:sz="0" w:space="0"/>
          <w:left w:val="none" w:color="auto" w:sz="0" w:space="0"/>
          <w:bottom w:val="single" w:color="FFFFFF"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51"/>
      </w:tblGrid>
      <w:tr w14:paraId="005B65E3">
        <w:tblPrEx>
          <w:tblBorders>
            <w:top w:val="none" w:color="auto" w:sz="0" w:space="0"/>
            <w:left w:val="none" w:color="auto" w:sz="0" w:space="0"/>
            <w:bottom w:val="single" w:color="FFFFFF"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151" w:type="dxa"/>
            <w:tcBorders>
              <w:bottom w:val="single" w:color="FF0000" w:sz="18" w:space="0"/>
            </w:tcBorders>
          </w:tcPr>
          <w:p w14:paraId="175B6FD8">
            <w:pPr>
              <w:spacing w:line="300" w:lineRule="auto"/>
              <w:jc w:val="center"/>
              <w:rPr>
                <w:rFonts w:eastAsia="方正仿宋_GBK"/>
                <w:bCs/>
                <w:w w:val="90"/>
                <w:sz w:val="18"/>
              </w:rPr>
            </w:pPr>
            <w:r>
              <w:rPr>
                <w:rFonts w:hint="eastAsia" w:eastAsia="方正仿宋_GBK"/>
                <w:bCs/>
                <w:snapToGrid w:val="0"/>
                <w:kern w:val="0"/>
                <w:sz w:val="32"/>
              </w:rPr>
              <w:t>宁政办发〔2021〕26号</w:t>
            </w:r>
          </w:p>
        </w:tc>
      </w:tr>
    </w:tbl>
    <w:p w14:paraId="10229C79">
      <w:pPr>
        <w:adjustRightInd w:val="0"/>
        <w:snapToGrid w:val="0"/>
        <w:spacing w:line="300" w:lineRule="auto"/>
        <w:jc w:val="center"/>
        <w:rPr>
          <w:rFonts w:eastAsia="方正小标宋_GBK"/>
          <w:sz w:val="52"/>
          <w:szCs w:val="52"/>
        </w:rPr>
      </w:pPr>
    </w:p>
    <w:p w14:paraId="3BDECEBD">
      <w:pPr>
        <w:adjustRightInd w:val="0"/>
        <w:snapToGrid w:val="0"/>
        <w:spacing w:line="300" w:lineRule="auto"/>
        <w:jc w:val="center"/>
        <w:rPr>
          <w:rFonts w:eastAsia="方正小标宋_GBK"/>
          <w:sz w:val="52"/>
          <w:szCs w:val="52"/>
        </w:rPr>
      </w:pPr>
    </w:p>
    <w:p w14:paraId="2AD15665">
      <w:pPr>
        <w:adjustRightInd w:val="0"/>
        <w:snapToGrid w:val="0"/>
        <w:spacing w:line="300" w:lineRule="auto"/>
        <w:jc w:val="center"/>
        <w:rPr>
          <w:rFonts w:eastAsia="方正小标宋_GBK"/>
          <w:sz w:val="44"/>
          <w:szCs w:val="44"/>
        </w:rPr>
      </w:pPr>
      <w:r>
        <w:rPr>
          <w:rFonts w:hint="eastAsia" w:eastAsia="方正小标宋_GBK"/>
          <w:sz w:val="44"/>
          <w:szCs w:val="44"/>
        </w:rPr>
        <w:t>市政府办公厅关于印发南京市</w:t>
      </w:r>
    </w:p>
    <w:p w14:paraId="17A94AF3">
      <w:pPr>
        <w:adjustRightInd w:val="0"/>
        <w:snapToGrid w:val="0"/>
        <w:spacing w:line="300" w:lineRule="auto"/>
        <w:jc w:val="center"/>
        <w:rPr>
          <w:rFonts w:eastAsia="方正小标宋_GBK"/>
          <w:sz w:val="44"/>
          <w:szCs w:val="44"/>
        </w:rPr>
      </w:pPr>
      <w:r>
        <w:rPr>
          <w:rFonts w:hint="eastAsia" w:eastAsia="方正小标宋_GBK"/>
          <w:sz w:val="44"/>
          <w:szCs w:val="44"/>
        </w:rPr>
        <w:t>“十四五”气象发展规划的通知</w:t>
      </w:r>
    </w:p>
    <w:p w14:paraId="6A4127AD">
      <w:pPr>
        <w:adjustRightInd w:val="0"/>
        <w:snapToGrid w:val="0"/>
        <w:spacing w:line="300" w:lineRule="auto"/>
        <w:ind w:firstLine="640" w:firstLineChars="200"/>
        <w:rPr>
          <w:rFonts w:eastAsia="方正仿宋_GBK"/>
          <w:sz w:val="32"/>
          <w:szCs w:val="32"/>
        </w:rPr>
      </w:pPr>
    </w:p>
    <w:p w14:paraId="1C5E1C97">
      <w:pPr>
        <w:adjustRightInd w:val="0"/>
        <w:snapToGrid w:val="0"/>
        <w:spacing w:line="300" w:lineRule="auto"/>
        <w:rPr>
          <w:rFonts w:eastAsia="方正仿宋_GBK"/>
          <w:sz w:val="32"/>
          <w:szCs w:val="32"/>
        </w:rPr>
      </w:pPr>
      <w:r>
        <w:rPr>
          <w:rFonts w:hint="eastAsia" w:eastAsia="方正仿宋_GBK"/>
          <w:sz w:val="32"/>
          <w:szCs w:val="32"/>
        </w:rPr>
        <w:t>各区人民政府，市府各委办局，市各直属单位：</w:t>
      </w:r>
    </w:p>
    <w:p w14:paraId="0AF6E221">
      <w:pPr>
        <w:adjustRightInd w:val="0"/>
        <w:snapToGrid w:val="0"/>
        <w:spacing w:line="300" w:lineRule="auto"/>
        <w:ind w:firstLine="640" w:firstLineChars="200"/>
        <w:rPr>
          <w:rFonts w:eastAsia="方正仿宋_GBK"/>
          <w:sz w:val="32"/>
          <w:szCs w:val="32"/>
        </w:rPr>
      </w:pPr>
      <w:r>
        <w:rPr>
          <w:rFonts w:hint="eastAsia" w:eastAsia="方正仿宋_GBK"/>
          <w:sz w:val="32"/>
          <w:szCs w:val="32"/>
        </w:rPr>
        <w:t>《南京市“十四五”气象发展规划》已经市政府同意，现印发给你们，请认真组织实施。</w:t>
      </w:r>
    </w:p>
    <w:p w14:paraId="0DA261C4">
      <w:pPr>
        <w:adjustRightInd w:val="0"/>
        <w:snapToGrid w:val="0"/>
        <w:spacing w:line="300" w:lineRule="auto"/>
        <w:ind w:firstLine="640" w:firstLineChars="200"/>
        <w:rPr>
          <w:rFonts w:eastAsia="方正仿宋_GBK"/>
          <w:sz w:val="32"/>
          <w:szCs w:val="32"/>
        </w:rPr>
      </w:pPr>
    </w:p>
    <w:p w14:paraId="71AC130B">
      <w:pPr>
        <w:adjustRightInd w:val="0"/>
        <w:snapToGrid w:val="0"/>
        <w:spacing w:line="300" w:lineRule="auto"/>
        <w:ind w:firstLine="640" w:firstLineChars="200"/>
        <w:rPr>
          <w:rFonts w:eastAsia="方正仿宋_GBK"/>
          <w:sz w:val="32"/>
          <w:szCs w:val="32"/>
        </w:rPr>
      </w:pPr>
    </w:p>
    <w:p w14:paraId="09EA7D07">
      <w:pPr>
        <w:adjustRightInd w:val="0"/>
        <w:snapToGrid w:val="0"/>
        <w:spacing w:line="300" w:lineRule="auto"/>
        <w:ind w:firstLine="4050" w:firstLineChars="1350"/>
        <w:rPr>
          <w:rFonts w:eastAsia="方正仿宋_GBK"/>
          <w:szCs w:val="30"/>
        </w:rPr>
      </w:pPr>
    </w:p>
    <w:p w14:paraId="5689E7D1">
      <w:pPr>
        <w:adjustRightInd w:val="0"/>
        <w:snapToGrid w:val="0"/>
        <w:spacing w:line="300" w:lineRule="auto"/>
        <w:ind w:firstLine="4464" w:firstLineChars="1395"/>
        <w:rPr>
          <w:rFonts w:eastAsia="方正仿宋_GBK"/>
          <w:sz w:val="32"/>
          <w:szCs w:val="32"/>
        </w:rPr>
      </w:pPr>
      <w:r>
        <w:rPr>
          <w:rFonts w:hint="eastAsia" w:eastAsia="方正仿宋_GBK"/>
          <w:sz w:val="32"/>
          <w:szCs w:val="32"/>
        </w:rPr>
        <w:t>南京市人民政府办公厅</w:t>
      </w:r>
    </w:p>
    <w:p w14:paraId="53CAD573">
      <w:pPr>
        <w:adjustRightInd w:val="0"/>
        <w:snapToGrid w:val="0"/>
        <w:spacing w:line="300" w:lineRule="auto"/>
        <w:ind w:firstLine="4960" w:firstLineChars="1550"/>
        <w:rPr>
          <w:rFonts w:eastAsia="方正仿宋_GBK"/>
          <w:sz w:val="32"/>
          <w:szCs w:val="32"/>
        </w:rPr>
      </w:pPr>
      <w:r>
        <w:rPr>
          <w:rFonts w:eastAsia="方正仿宋_GBK"/>
          <w:sz w:val="32"/>
          <w:szCs w:val="32"/>
        </w:rPr>
        <w:t>20</w:t>
      </w:r>
      <w:r>
        <w:rPr>
          <w:rFonts w:hint="eastAsia" w:eastAsia="方正仿宋_GBK"/>
          <w:sz w:val="32"/>
          <w:szCs w:val="32"/>
        </w:rPr>
        <w:t>21</w:t>
      </w:r>
      <w:r>
        <w:rPr>
          <w:rFonts w:eastAsia="方正仿宋_GBK"/>
          <w:sz w:val="32"/>
          <w:szCs w:val="32"/>
        </w:rPr>
        <w:t>年</w:t>
      </w:r>
      <w:r>
        <w:rPr>
          <w:rFonts w:hint="eastAsia" w:eastAsia="方正仿宋_GBK"/>
          <w:sz w:val="32"/>
          <w:szCs w:val="32"/>
        </w:rPr>
        <w:t>9</w:t>
      </w:r>
      <w:r>
        <w:rPr>
          <w:rFonts w:eastAsia="方正仿宋_GBK"/>
          <w:sz w:val="32"/>
          <w:szCs w:val="32"/>
        </w:rPr>
        <w:t>月</w:t>
      </w:r>
      <w:r>
        <w:rPr>
          <w:rFonts w:hint="eastAsia" w:eastAsia="方正仿宋_GBK"/>
          <w:sz w:val="32"/>
          <w:szCs w:val="32"/>
        </w:rPr>
        <w:t>8</w:t>
      </w:r>
      <w:r>
        <w:rPr>
          <w:rFonts w:eastAsia="方正仿宋_GBK"/>
          <w:sz w:val="32"/>
          <w:szCs w:val="32"/>
        </w:rPr>
        <w:t>日</w:t>
      </w:r>
    </w:p>
    <w:p w14:paraId="040FFFE9">
      <w:pPr>
        <w:adjustRightInd w:val="0"/>
        <w:snapToGrid w:val="0"/>
        <w:spacing w:line="300" w:lineRule="auto"/>
        <w:ind w:firstLine="480" w:firstLineChars="200"/>
        <w:rPr>
          <w:rFonts w:eastAsia="方正仿宋_GBK"/>
          <w:sz w:val="24"/>
          <w:szCs w:val="24"/>
        </w:rPr>
      </w:pPr>
    </w:p>
    <w:p w14:paraId="3D261B86">
      <w:pPr>
        <w:adjustRightInd w:val="0"/>
        <w:snapToGrid w:val="0"/>
        <w:spacing w:line="300" w:lineRule="auto"/>
        <w:ind w:firstLine="640" w:firstLineChars="200"/>
        <w:rPr>
          <w:rFonts w:eastAsia="方正仿宋_GBK"/>
          <w:sz w:val="32"/>
          <w:szCs w:val="32"/>
        </w:rPr>
      </w:pPr>
      <w:r>
        <w:rPr>
          <w:rFonts w:hint="eastAsia" w:eastAsia="方正仿宋_GBK"/>
          <w:sz w:val="32"/>
          <w:szCs w:val="32"/>
        </w:rPr>
        <w:t>（此件公开发布）</w:t>
      </w:r>
    </w:p>
    <w:p w14:paraId="3C7174BF">
      <w:pPr>
        <w:adjustRightInd w:val="0"/>
        <w:snapToGrid w:val="0"/>
        <w:spacing w:line="300" w:lineRule="auto"/>
        <w:rPr>
          <w:rFonts w:eastAsia="方正仿宋_GBK"/>
          <w:sz w:val="32"/>
          <w:szCs w:val="32"/>
        </w:rPr>
      </w:pPr>
    </w:p>
    <w:p w14:paraId="20F71D24">
      <w:pPr>
        <w:adjustRightInd w:val="0"/>
        <w:snapToGrid w:val="0"/>
        <w:spacing w:line="300" w:lineRule="auto"/>
        <w:jc w:val="center"/>
        <w:rPr>
          <w:rFonts w:eastAsia="方正小标宋_GBK"/>
          <w:sz w:val="44"/>
          <w:szCs w:val="44"/>
        </w:rPr>
      </w:pPr>
      <w:r>
        <w:rPr>
          <w:rFonts w:hint="eastAsia" w:eastAsia="方正小标宋_GBK"/>
          <w:sz w:val="44"/>
          <w:szCs w:val="44"/>
        </w:rPr>
        <w:t>南京市“十四五”气象发展规划</w:t>
      </w:r>
    </w:p>
    <w:p w14:paraId="71B62F0F">
      <w:pPr>
        <w:adjustRightInd w:val="0"/>
        <w:snapToGrid w:val="0"/>
        <w:spacing w:line="300" w:lineRule="auto"/>
        <w:ind w:firstLine="640" w:firstLineChars="200"/>
        <w:rPr>
          <w:rFonts w:eastAsia="方正仿宋_GBK"/>
          <w:sz w:val="32"/>
          <w:szCs w:val="32"/>
        </w:rPr>
      </w:pPr>
    </w:p>
    <w:p w14:paraId="45257710">
      <w:pPr>
        <w:adjustRightInd w:val="0"/>
        <w:snapToGrid w:val="0"/>
        <w:spacing w:line="300" w:lineRule="auto"/>
        <w:ind w:firstLine="640" w:firstLineChars="200"/>
        <w:rPr>
          <w:rFonts w:eastAsia="方正仿宋_GBK"/>
          <w:sz w:val="32"/>
          <w:szCs w:val="32"/>
        </w:rPr>
      </w:pPr>
      <w:r>
        <w:rPr>
          <w:rFonts w:hint="eastAsia" w:eastAsia="方正仿宋_GBK"/>
          <w:sz w:val="32"/>
          <w:szCs w:val="32"/>
        </w:rPr>
        <w:t>气象事业是科技型、基础性社会公益事业，气象工作关系生命安全、生产发展、生活富裕、生态良好。编制《南京市“十四五”气象发展规划》，在更高水平上推进南京气象现代化建设，对于充分发挥气象防灾减灾第一道防线作用，围绕“监测精密、预报精准、服务精细”，加快构建新发展格局，提高气象服务保障“创新名城、美丽古都”建设能力，在更高质量、更高水平推进南京气象现代化建设迈上新台阶具有重要意义。本规划依据《中华人民共和国气象法》《全国气象现代化发展纲要（2015—2030年）》《江苏省气象灾害防御条例》《江苏省“十四五”气象发展规划》《南京市国民经济和社会发展第十四个五年规划和二○三五年远景目标纲要》《市政府关于推进气象事业高质量发展的实施意见》等有关要求编制，是指导“十四五”时期南京气象发展的基本依据和行动纲领。</w:t>
      </w:r>
    </w:p>
    <w:p w14:paraId="6A554FFB">
      <w:pPr>
        <w:adjustRightInd w:val="0"/>
        <w:snapToGrid w:val="0"/>
        <w:spacing w:line="300" w:lineRule="auto"/>
        <w:ind w:firstLine="640" w:firstLineChars="200"/>
        <w:rPr>
          <w:rFonts w:eastAsia="方正黑体_GBK"/>
          <w:sz w:val="32"/>
          <w:szCs w:val="32"/>
        </w:rPr>
      </w:pPr>
      <w:r>
        <w:rPr>
          <w:rFonts w:hint="eastAsia" w:eastAsia="方正黑体_GBK"/>
          <w:sz w:val="32"/>
          <w:szCs w:val="32"/>
        </w:rPr>
        <w:t>一、发展基础和面临形势</w:t>
      </w:r>
    </w:p>
    <w:p w14:paraId="4B6AE64D">
      <w:pPr>
        <w:adjustRightInd w:val="0"/>
        <w:snapToGrid w:val="0"/>
        <w:spacing w:line="300" w:lineRule="auto"/>
        <w:ind w:firstLine="640" w:firstLineChars="200"/>
        <w:rPr>
          <w:rFonts w:eastAsia="方正仿宋_GBK"/>
          <w:sz w:val="32"/>
          <w:szCs w:val="32"/>
        </w:rPr>
      </w:pPr>
      <w:r>
        <w:rPr>
          <w:rFonts w:hint="eastAsia" w:eastAsia="方正仿宋_GBK"/>
          <w:sz w:val="32"/>
          <w:szCs w:val="32"/>
        </w:rPr>
        <w:t>（一）“十三五”取得的主要成绩</w:t>
      </w:r>
    </w:p>
    <w:p w14:paraId="687B3A18">
      <w:pPr>
        <w:adjustRightInd w:val="0"/>
        <w:snapToGrid w:val="0"/>
        <w:spacing w:line="300" w:lineRule="auto"/>
        <w:ind w:firstLine="640" w:firstLineChars="200"/>
        <w:rPr>
          <w:rFonts w:eastAsia="方正仿宋_GBK"/>
          <w:sz w:val="32"/>
          <w:szCs w:val="32"/>
        </w:rPr>
      </w:pPr>
      <w:r>
        <w:rPr>
          <w:rFonts w:hint="eastAsia" w:eastAsia="方正仿宋_GBK"/>
          <w:sz w:val="32"/>
          <w:szCs w:val="32"/>
        </w:rPr>
        <w:t>“十三五”期间，南京气象改革发展坚持以习近平新时代中国特色社会主义思想为指导，全面贯彻落实习近平总书记对气象工作重要指示精神，坚持服务国家发展战略和南京高质量发展，坚持服务人民，深入践行新发展理念，不断对标找差，创新实干，持之以恒推进气象现代化建设，努力提高促进经济社会发展进步、保障改善民生的气象服务能力，圆满完成“十三五”气象发展规划确定的主要目标任务，全市气象综合实力明显增强，为“强富美高”新南京建设作出了贡献。</w:t>
      </w:r>
    </w:p>
    <w:p w14:paraId="5DFBA14C">
      <w:pPr>
        <w:adjustRightInd w:val="0"/>
        <w:snapToGrid w:val="0"/>
        <w:spacing w:line="300" w:lineRule="auto"/>
        <w:ind w:firstLine="640" w:firstLineChars="200"/>
        <w:rPr>
          <w:rFonts w:eastAsia="方正仿宋_GBK"/>
          <w:sz w:val="32"/>
          <w:szCs w:val="32"/>
        </w:rPr>
      </w:pPr>
      <w:r>
        <w:rPr>
          <w:rFonts w:hint="eastAsia" w:eastAsia="方正仿宋_GBK"/>
          <w:sz w:val="32"/>
          <w:szCs w:val="32"/>
        </w:rPr>
        <w:t>1．气象灾害防御能力明显增强</w:t>
      </w:r>
    </w:p>
    <w:p w14:paraId="1381FF65">
      <w:pPr>
        <w:adjustRightInd w:val="0"/>
        <w:snapToGrid w:val="0"/>
        <w:spacing w:line="300" w:lineRule="auto"/>
        <w:ind w:firstLine="640" w:firstLineChars="200"/>
        <w:rPr>
          <w:rFonts w:eastAsia="方正仿宋_GBK"/>
          <w:sz w:val="32"/>
          <w:szCs w:val="32"/>
        </w:rPr>
      </w:pPr>
      <w:r>
        <w:rPr>
          <w:rFonts w:hint="eastAsia" w:eastAsia="方正仿宋_GBK"/>
          <w:sz w:val="32"/>
          <w:szCs w:val="32"/>
        </w:rPr>
        <w:t>修订《南京市重大气象灾害应急预案》，相关部门、单位建立完善气象灾害防御专项预案。印发《南京市突发事件预警信息发布管理办法》，预警信息发布行为进一步规范。市、区突发事件预警信息发布中心成立，突发事件预警信息发布平台业务运行，相关预警信息发布部门全部接入平台。气象灾害预警传播融入网格化社会治理体系，基层气象灾害预警传播“四有”功能配置标准建成率达95%。市、区、镇（街）、村（社区）四级气象灾害防御体系形成。重大气象灾害应急处置队伍、物资储备与防御要求基本适应，长江新济洲、八卦洲河道整治，秦淮河江宁段、石臼湖、固城湖、滁河、水阳江胜利圩段等堤防加固，城市河口泵站改造、积淹水片区治理等一批防洪减灾工程性防御措施，以及健全防汛责任体系，强化指挥调度，建立防汛指挥信息系统等防汛保障非工程性防御措施得到落实。气象与应急管理、水务、城管、生态环境、交通、农业、规划和自然资源、绿化园林等部门气象信息实时共享。滁河流域苏皖气象联防机制建立，水阳江流域气象联防继续加强，联创67个全国综合减灾示范社区。气象防灾减灾科普更加广泛，《南京市气象灾害及防御指南读本》等科普材料编印发行，浦口、溧水、六合气象科普馆落成。公众气象灾害防御意识和应急避险自救能力增强，气象灾害防御体系完备率达90%，气象灾害预警信息覆盖面达98%。防汛抗旱、农业气象防灾减灾、城市运行安全气象保障水平得到明显提升，重大气象灾害防御应急联动有力有效，防灾减灾成效不断显现，决策气象服务在防御“温比亚”、“利奇马”等台风影响，2016年、2020年严重洪涝以及2018年、2019年暴雪，夺取抗洪胜利、实现“一夜雪无”等工作中发挥重要作用。</w:t>
      </w:r>
    </w:p>
    <w:p w14:paraId="3420F7F3">
      <w:pPr>
        <w:adjustRightInd w:val="0"/>
        <w:snapToGrid w:val="0"/>
        <w:spacing w:line="300" w:lineRule="auto"/>
        <w:ind w:firstLine="640" w:firstLineChars="200"/>
        <w:rPr>
          <w:rFonts w:eastAsia="方正仿宋_GBK"/>
          <w:sz w:val="32"/>
          <w:szCs w:val="32"/>
        </w:rPr>
      </w:pPr>
      <w:r>
        <w:rPr>
          <w:rFonts w:hint="eastAsia" w:eastAsia="方正仿宋_GBK"/>
          <w:sz w:val="32"/>
          <w:szCs w:val="32"/>
        </w:rPr>
        <w:t>2．气象监测预报水平显著提升</w:t>
      </w:r>
    </w:p>
    <w:p w14:paraId="7E178F93">
      <w:pPr>
        <w:adjustRightInd w:val="0"/>
        <w:snapToGrid w:val="0"/>
        <w:spacing w:line="300" w:lineRule="auto"/>
        <w:ind w:firstLine="640" w:firstLineChars="200"/>
        <w:rPr>
          <w:rFonts w:eastAsia="方正仿宋_GBK"/>
          <w:sz w:val="32"/>
          <w:szCs w:val="32"/>
        </w:rPr>
      </w:pPr>
      <w:r>
        <w:rPr>
          <w:rFonts w:hint="eastAsia" w:eastAsia="方正仿宋_GBK"/>
          <w:sz w:val="32"/>
          <w:szCs w:val="32"/>
        </w:rPr>
        <w:t>气象观测业务更加完善，观测布局进一步优化，观测自动化程度明显提高。南京特大城市大气垂直廓线观测系统初步建成。新一代多普勒天气雷达完成双偏振改造，新增X波段双偏振雷达4部、微波辐射计4部、反应性气体和气溶胶观测站3个、负氧离子站5个，边界层风廓线雷达、气溶胶激光雷达、激光雨滴谱仪、通量观测系统等投入业务应用。建成自动放球探空系统、云高云量观测设备、酸雨自动观测系统，地面气象观测基本实现自动化。观测业务通过ISO9001论证。区域气象灾害监测率达98%，观测设备社会化保障机制进一步完善，设备稳定运行率超过99%。与周边省市观测信息实现实时共享，数据可用率超过99%。气象台站观测环境综合评分达94分。南京国家基准气候站获世界气象组织“百年气象站”认证。高性能计算系统运算峰值提升到40TFlops，存储能力增加500TB，市到区通讯专网带宽提高到100M。建成气象监测预报预警服务一体化业务平台和城市强降水预警等基础业务系统，建立智能网格化预报业务，预报网格距达到2.5公里，24小时预报时效内间隔1小时，形成精细化无缝隙短临到短期、短期到月的预报产品链。短期气候预测准确率达80%，短期24小时晴雨预报准确率达90%，灾害性天气预警准确率提升到82%，分域提前预警平均时效延长到40分钟。</w:t>
      </w:r>
    </w:p>
    <w:p w14:paraId="08D33990">
      <w:pPr>
        <w:adjustRightInd w:val="0"/>
        <w:snapToGrid w:val="0"/>
        <w:spacing w:line="300" w:lineRule="auto"/>
        <w:ind w:firstLine="640" w:firstLineChars="200"/>
        <w:rPr>
          <w:rFonts w:eastAsia="方正仿宋_GBK"/>
          <w:sz w:val="32"/>
          <w:szCs w:val="32"/>
        </w:rPr>
      </w:pPr>
      <w:r>
        <w:rPr>
          <w:rFonts w:hint="eastAsia" w:eastAsia="方正仿宋_GBK"/>
          <w:sz w:val="32"/>
          <w:szCs w:val="32"/>
        </w:rPr>
        <w:t>3．公共气象服务能力稳步提高</w:t>
      </w:r>
    </w:p>
    <w:p w14:paraId="0AC14F83">
      <w:pPr>
        <w:adjustRightInd w:val="0"/>
        <w:snapToGrid w:val="0"/>
        <w:spacing w:line="300" w:lineRule="auto"/>
        <w:ind w:firstLine="640" w:firstLineChars="200"/>
        <w:rPr>
          <w:rFonts w:eastAsia="方正仿宋_GBK"/>
          <w:sz w:val="32"/>
          <w:szCs w:val="32"/>
        </w:rPr>
      </w:pPr>
      <w:r>
        <w:rPr>
          <w:rFonts w:hint="eastAsia" w:eastAsia="方正仿宋_GBK"/>
          <w:sz w:val="32"/>
          <w:szCs w:val="32"/>
        </w:rPr>
        <w:t>全面融入南京公共服务体系建设，在智慧南京建设、大气污染防控、海绵城市建设、农业现代化和美丽乡村建设、“互联网+”南京行动计划方案中列入气象任务。城市安全运行、生态文明建设、乡村振兴等气象服务水平明显提升。圆满完成历次重大体育赛事，国家公祭日、世界名城会等重大活动，长江深水航道施工等重大工程气象保障。开展地铁、供电、旅游、大气污染防控、地质灾害防治、森林火险等级气象预警等专项气象服务。江宁区获评“中国天然氧吧”。建成重污染天气溯源分析、地铁运营气象服务、城市积涝风险预警等业务系统，空气质量预报和大气污染扩散气象条件预报时效延长到10天。农业气象服务体系继续完善，农业气象专家联盟纳入市科协品牌建设，面向新型农业经营主体“直通式”服务更加深入，农业气象指数保险进一步发展。气象短信直通服务对象超过11万。共享市科协电子显示屏200余个，新增气象多媒体信息接收终端256个。南京气象进驻“今日头条”等新媒体，南京气象微博微信获全国十大气象微博和市优秀政务新媒体。公众气象服务满意度提升到90%。</w:t>
      </w:r>
    </w:p>
    <w:p w14:paraId="746D3CC7">
      <w:pPr>
        <w:adjustRightInd w:val="0"/>
        <w:snapToGrid w:val="0"/>
        <w:spacing w:line="300" w:lineRule="auto"/>
        <w:ind w:firstLine="640" w:firstLineChars="200"/>
        <w:rPr>
          <w:rFonts w:eastAsia="方正仿宋_GBK"/>
          <w:sz w:val="32"/>
          <w:szCs w:val="32"/>
        </w:rPr>
      </w:pPr>
      <w:r>
        <w:rPr>
          <w:rFonts w:hint="eastAsia" w:eastAsia="方正仿宋_GBK"/>
          <w:sz w:val="32"/>
          <w:szCs w:val="32"/>
        </w:rPr>
        <w:t>4．气象科技创新成效不断显现</w:t>
      </w:r>
    </w:p>
    <w:p w14:paraId="249E6DD7">
      <w:pPr>
        <w:adjustRightInd w:val="0"/>
        <w:snapToGrid w:val="0"/>
        <w:spacing w:line="300" w:lineRule="auto"/>
        <w:ind w:firstLine="640" w:firstLineChars="200"/>
        <w:rPr>
          <w:rFonts w:eastAsia="方正仿宋_GBK"/>
          <w:sz w:val="32"/>
          <w:szCs w:val="32"/>
        </w:rPr>
      </w:pPr>
      <w:r>
        <w:rPr>
          <w:rFonts w:hint="eastAsia" w:eastAsia="方正仿宋_GBK"/>
          <w:sz w:val="32"/>
          <w:szCs w:val="32"/>
        </w:rPr>
        <w:t>对标国际一流创新城市和地区，聚焦监测精密、预报精准、服务精细，紧贴南京气象服务需求，联合中央气象台等国家级、省级科研业务单位和南京大学、南京信息工程大学等院校以及在宁气象企业，深入实施创新驱动发展战略，持续开展相关核心技术攻关，气象科技创新对气象业务支撑能力持续提升。完成科研开发项目70项，82%科技成果得到转化，获得省、市气象科技开发奖21项，发表SCI论文6篇，中文核心期刊论文49篇。建成具有南京特点的强对流天气监测预警、重污染天气应急分析决策、智能网格预报等业务服务系统并投入业务运行。新型探测数据及人工智能等技术在气象业务中有效应用。监测预警信息接入水务、应急管理等部门共享，为气象灾害防御和应急处置提供决策依据。研发成果被多个外省市气象部门借鉴引进。中国气象局与省政府、市政府共建的南京气象科技创新研究院进入实际运行。气象部门人才队伍结构继续改善，学历层次明显提高，综合素质明显提升，硕士研究生以上比例达到36.8%，中高级以上职称比例达到79%，人力资源水平指数达到85%。组建2个市级气象科技创新团队，1人入选省级首席预报员，4人获市“五一劳动奖章”，1人晋升为正研级高级工程师，15人晋升为高级工程师，1人获中国气象局“青年英才”，2人获江苏省“333工程”高层次人才培养对象，3人获省气象局“青年新秀”，10人进入省级气象科技创新团队。</w:t>
      </w:r>
    </w:p>
    <w:p w14:paraId="580B5720">
      <w:pPr>
        <w:adjustRightInd w:val="0"/>
        <w:snapToGrid w:val="0"/>
        <w:spacing w:line="300" w:lineRule="auto"/>
        <w:ind w:firstLine="640" w:firstLineChars="200"/>
        <w:rPr>
          <w:rFonts w:eastAsia="方正仿宋_GBK"/>
          <w:sz w:val="32"/>
          <w:szCs w:val="32"/>
        </w:rPr>
      </w:pPr>
      <w:r>
        <w:rPr>
          <w:rFonts w:hint="eastAsia" w:eastAsia="方正仿宋_GBK"/>
          <w:sz w:val="32"/>
          <w:szCs w:val="32"/>
        </w:rPr>
        <w:t>5．气象治理能力得到加强</w:t>
      </w:r>
    </w:p>
    <w:p w14:paraId="595F3A50">
      <w:pPr>
        <w:adjustRightInd w:val="0"/>
        <w:snapToGrid w:val="0"/>
        <w:spacing w:line="300" w:lineRule="auto"/>
        <w:ind w:firstLine="640" w:firstLineChars="200"/>
        <w:rPr>
          <w:rFonts w:eastAsia="方正仿宋_GBK"/>
          <w:sz w:val="32"/>
          <w:szCs w:val="32"/>
        </w:rPr>
      </w:pPr>
      <w:r>
        <w:rPr>
          <w:rFonts w:hint="eastAsia" w:eastAsia="方正仿宋_GBK"/>
          <w:sz w:val="32"/>
          <w:szCs w:val="32"/>
        </w:rPr>
        <w:t>全面融入安全韧性城市的社会治理体系，推进气象法治工作规范化，市域气象治理和服务更加精准化、精细化，为建成国家安全发展示范城市作出气象贡献。实施行政执法公示、行政执法活动全过程记录、重大执法决定法制审核制度。完成防雷减灾体制改革，气象服务体制改革有效落实，防雷技术服务等气象科技服务向社会开放，社会多元参与气象服务格局基本形成。加强行政执法队伍建设，60余人取得行政执法证，气象行政、依法履职能力提升。落实“放管服”改革举措，精简行政审批事项，实现气象政务服务事项全城通办，实施气候可行性论证和雷电灾害风险区域评估。加强事中事后监管，建立“双随机一公开”监管平台，实行“不见面审批”，建立随机抽查事项清单。健全防雷安全重点单位名录库，易燃易爆重点单位和防雷安全检测中介机构行政检查全覆盖。全市禁止施放氢气球，常态化开展施放气球巡查、抽查。气象财政经费保障体制全面落实。统筹推进区域协调发展，六合、高淳公共气象服务指标明显提升。文明单位建设层次内涵提升，全市6个单位被评为文明单位，其中3个为省文明单位，市气象局被评为全国文明单位并荣获全国气象工作先进集体称号。</w:t>
      </w:r>
    </w:p>
    <w:p w14:paraId="1FC5BBA1">
      <w:pPr>
        <w:adjustRightInd w:val="0"/>
        <w:snapToGrid w:val="0"/>
        <w:spacing w:line="300" w:lineRule="auto"/>
        <w:jc w:val="center"/>
        <w:rPr>
          <w:rFonts w:eastAsia="方正黑体_GBK"/>
          <w:sz w:val="32"/>
          <w:szCs w:val="32"/>
        </w:rPr>
      </w:pPr>
      <w:r>
        <w:rPr>
          <w:rFonts w:hint="eastAsia" w:eastAsia="方正黑体_GBK"/>
          <w:sz w:val="32"/>
          <w:szCs w:val="32"/>
        </w:rPr>
        <w:t>表一：“十三五”气象发展主要指标完成情况</w:t>
      </w:r>
    </w:p>
    <w:tbl>
      <w:tblPr>
        <w:tblStyle w:val="42"/>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728"/>
        <w:gridCol w:w="4129"/>
        <w:gridCol w:w="1487"/>
        <w:gridCol w:w="1487"/>
      </w:tblGrid>
      <w:tr w14:paraId="27E390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116" w:type="dxa"/>
            <w:vAlign w:val="center"/>
          </w:tcPr>
          <w:p w14:paraId="1E47DC7D">
            <w:pPr>
              <w:adjustRightInd w:val="0"/>
              <w:snapToGrid w:val="0"/>
              <w:jc w:val="center"/>
              <w:rPr>
                <w:rFonts w:eastAsia="方正黑体_GBK"/>
                <w:sz w:val="21"/>
                <w:szCs w:val="21"/>
              </w:rPr>
            </w:pPr>
            <w:r>
              <w:rPr>
                <w:rFonts w:hint="eastAsia" w:eastAsia="方正黑体_GBK"/>
                <w:sz w:val="21"/>
                <w:szCs w:val="21"/>
              </w:rPr>
              <w:t>分类</w:t>
            </w:r>
          </w:p>
        </w:tc>
        <w:tc>
          <w:tcPr>
            <w:tcW w:w="728" w:type="dxa"/>
            <w:vAlign w:val="center"/>
          </w:tcPr>
          <w:p w14:paraId="07601F02">
            <w:pPr>
              <w:adjustRightInd w:val="0"/>
              <w:snapToGrid w:val="0"/>
              <w:jc w:val="center"/>
              <w:rPr>
                <w:rFonts w:eastAsia="方正黑体_GBK"/>
                <w:sz w:val="21"/>
                <w:szCs w:val="21"/>
              </w:rPr>
            </w:pPr>
            <w:r>
              <w:rPr>
                <w:rFonts w:hint="eastAsia" w:eastAsia="方正黑体_GBK"/>
                <w:sz w:val="21"/>
                <w:szCs w:val="21"/>
              </w:rPr>
              <w:t>序号</w:t>
            </w:r>
          </w:p>
        </w:tc>
        <w:tc>
          <w:tcPr>
            <w:tcW w:w="4129" w:type="dxa"/>
            <w:vAlign w:val="center"/>
          </w:tcPr>
          <w:p w14:paraId="598DD496">
            <w:pPr>
              <w:adjustRightInd w:val="0"/>
              <w:snapToGrid w:val="0"/>
              <w:jc w:val="center"/>
              <w:rPr>
                <w:rFonts w:eastAsia="方正黑体_GBK"/>
                <w:sz w:val="21"/>
                <w:szCs w:val="21"/>
              </w:rPr>
            </w:pPr>
            <w:r>
              <w:rPr>
                <w:rFonts w:hint="eastAsia" w:eastAsia="方正黑体_GBK"/>
                <w:sz w:val="21"/>
                <w:szCs w:val="21"/>
              </w:rPr>
              <w:t>指  标</w:t>
            </w:r>
          </w:p>
        </w:tc>
        <w:tc>
          <w:tcPr>
            <w:tcW w:w="1487" w:type="dxa"/>
            <w:vAlign w:val="center"/>
          </w:tcPr>
          <w:p w14:paraId="58C2FCEE">
            <w:pPr>
              <w:adjustRightInd w:val="0"/>
              <w:snapToGrid w:val="0"/>
              <w:jc w:val="center"/>
              <w:rPr>
                <w:rFonts w:eastAsia="方正黑体_GBK"/>
                <w:sz w:val="21"/>
                <w:szCs w:val="21"/>
              </w:rPr>
            </w:pPr>
            <w:r>
              <w:rPr>
                <w:rFonts w:hint="eastAsia" w:eastAsia="方正黑体_GBK"/>
                <w:sz w:val="21"/>
                <w:szCs w:val="21"/>
              </w:rPr>
              <w:t>规划目标值</w:t>
            </w:r>
          </w:p>
        </w:tc>
        <w:tc>
          <w:tcPr>
            <w:tcW w:w="1487" w:type="dxa"/>
            <w:vAlign w:val="center"/>
          </w:tcPr>
          <w:p w14:paraId="26EDFFA4">
            <w:pPr>
              <w:adjustRightInd w:val="0"/>
              <w:snapToGrid w:val="0"/>
              <w:jc w:val="center"/>
              <w:rPr>
                <w:rFonts w:eastAsia="方正黑体_GBK"/>
                <w:sz w:val="21"/>
                <w:szCs w:val="21"/>
              </w:rPr>
            </w:pPr>
            <w:r>
              <w:rPr>
                <w:rFonts w:hint="eastAsia" w:eastAsia="方正黑体_GBK"/>
                <w:sz w:val="21"/>
                <w:szCs w:val="21"/>
              </w:rPr>
              <w:t>完成值</w:t>
            </w:r>
          </w:p>
        </w:tc>
      </w:tr>
      <w:tr w14:paraId="0F3C05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16" w:type="dxa"/>
            <w:vMerge w:val="restart"/>
            <w:vAlign w:val="center"/>
          </w:tcPr>
          <w:p w14:paraId="04645BE2">
            <w:pPr>
              <w:adjustRightInd w:val="0"/>
              <w:snapToGrid w:val="0"/>
              <w:rPr>
                <w:rFonts w:eastAsia="方正书宋_GBK"/>
                <w:sz w:val="21"/>
                <w:szCs w:val="21"/>
              </w:rPr>
            </w:pPr>
            <w:r>
              <w:rPr>
                <w:rFonts w:hint="eastAsia" w:eastAsia="方正书宋_GBK"/>
                <w:sz w:val="21"/>
                <w:szCs w:val="21"/>
              </w:rPr>
              <w:t>气象观测</w:t>
            </w:r>
          </w:p>
        </w:tc>
        <w:tc>
          <w:tcPr>
            <w:tcW w:w="728" w:type="dxa"/>
            <w:vAlign w:val="center"/>
          </w:tcPr>
          <w:p w14:paraId="6B01CB33">
            <w:pPr>
              <w:adjustRightInd w:val="0"/>
              <w:snapToGrid w:val="0"/>
              <w:jc w:val="center"/>
              <w:rPr>
                <w:rFonts w:eastAsia="方正书宋_GBK"/>
                <w:sz w:val="21"/>
                <w:szCs w:val="21"/>
              </w:rPr>
            </w:pPr>
            <w:r>
              <w:rPr>
                <w:rFonts w:hint="eastAsia" w:eastAsia="方正书宋_GBK"/>
                <w:sz w:val="21"/>
                <w:szCs w:val="21"/>
              </w:rPr>
              <w:t>1</w:t>
            </w:r>
          </w:p>
        </w:tc>
        <w:tc>
          <w:tcPr>
            <w:tcW w:w="4129" w:type="dxa"/>
            <w:vAlign w:val="center"/>
          </w:tcPr>
          <w:p w14:paraId="3E42B8DE">
            <w:pPr>
              <w:adjustRightInd w:val="0"/>
              <w:snapToGrid w:val="0"/>
              <w:rPr>
                <w:rFonts w:eastAsia="方正书宋_GBK"/>
                <w:sz w:val="21"/>
                <w:szCs w:val="21"/>
              </w:rPr>
            </w:pPr>
            <w:r>
              <w:rPr>
                <w:rFonts w:hint="eastAsia" w:eastAsia="方正书宋_GBK"/>
                <w:sz w:val="21"/>
                <w:szCs w:val="21"/>
              </w:rPr>
              <w:t>气象观测网建成率</w:t>
            </w:r>
          </w:p>
        </w:tc>
        <w:tc>
          <w:tcPr>
            <w:tcW w:w="1487" w:type="dxa"/>
            <w:vAlign w:val="center"/>
          </w:tcPr>
          <w:p w14:paraId="2669D8B9">
            <w:pPr>
              <w:adjustRightInd w:val="0"/>
              <w:snapToGrid w:val="0"/>
              <w:jc w:val="center"/>
              <w:rPr>
                <w:rFonts w:eastAsia="方正书宋_GBK"/>
                <w:sz w:val="21"/>
                <w:szCs w:val="21"/>
              </w:rPr>
            </w:pPr>
            <w:r>
              <w:rPr>
                <w:rFonts w:hint="eastAsia" w:eastAsia="方正书宋_GBK"/>
                <w:sz w:val="21"/>
                <w:szCs w:val="21"/>
              </w:rPr>
              <w:t>≥90%</w:t>
            </w:r>
          </w:p>
        </w:tc>
        <w:tc>
          <w:tcPr>
            <w:tcW w:w="1487" w:type="dxa"/>
            <w:vAlign w:val="center"/>
          </w:tcPr>
          <w:p w14:paraId="47747B9A">
            <w:pPr>
              <w:adjustRightInd w:val="0"/>
              <w:snapToGrid w:val="0"/>
              <w:jc w:val="center"/>
              <w:rPr>
                <w:rFonts w:eastAsia="方正书宋_GBK"/>
                <w:sz w:val="21"/>
                <w:szCs w:val="21"/>
              </w:rPr>
            </w:pPr>
            <w:r>
              <w:rPr>
                <w:rFonts w:hint="eastAsia" w:eastAsia="方正书宋_GBK"/>
                <w:sz w:val="21"/>
                <w:szCs w:val="21"/>
              </w:rPr>
              <w:t>92%</w:t>
            </w:r>
          </w:p>
        </w:tc>
      </w:tr>
      <w:tr w14:paraId="3D1F4D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16" w:type="dxa"/>
            <w:vMerge w:val="continue"/>
            <w:vAlign w:val="center"/>
          </w:tcPr>
          <w:p w14:paraId="65C11E8D">
            <w:pPr>
              <w:adjustRightInd w:val="0"/>
              <w:snapToGrid w:val="0"/>
              <w:rPr>
                <w:rFonts w:eastAsia="方正书宋_GBK"/>
                <w:sz w:val="21"/>
                <w:szCs w:val="21"/>
              </w:rPr>
            </w:pPr>
          </w:p>
        </w:tc>
        <w:tc>
          <w:tcPr>
            <w:tcW w:w="728" w:type="dxa"/>
            <w:vAlign w:val="center"/>
          </w:tcPr>
          <w:p w14:paraId="738D084E">
            <w:pPr>
              <w:adjustRightInd w:val="0"/>
              <w:snapToGrid w:val="0"/>
              <w:jc w:val="center"/>
              <w:rPr>
                <w:rFonts w:eastAsia="方正书宋_GBK"/>
                <w:sz w:val="21"/>
                <w:szCs w:val="21"/>
              </w:rPr>
            </w:pPr>
            <w:r>
              <w:rPr>
                <w:rFonts w:hint="eastAsia" w:eastAsia="方正书宋_GBK"/>
                <w:sz w:val="21"/>
                <w:szCs w:val="21"/>
              </w:rPr>
              <w:t>2</w:t>
            </w:r>
          </w:p>
        </w:tc>
        <w:tc>
          <w:tcPr>
            <w:tcW w:w="4129" w:type="dxa"/>
            <w:vAlign w:val="center"/>
          </w:tcPr>
          <w:p w14:paraId="16AA28A1">
            <w:pPr>
              <w:adjustRightInd w:val="0"/>
              <w:snapToGrid w:val="0"/>
              <w:rPr>
                <w:rFonts w:eastAsia="方正书宋_GBK"/>
                <w:sz w:val="21"/>
                <w:szCs w:val="21"/>
              </w:rPr>
            </w:pPr>
            <w:r>
              <w:rPr>
                <w:rFonts w:hint="eastAsia" w:eastAsia="方正书宋_GBK"/>
                <w:sz w:val="21"/>
                <w:szCs w:val="21"/>
              </w:rPr>
              <w:t>气象观测自动化率</w:t>
            </w:r>
          </w:p>
        </w:tc>
        <w:tc>
          <w:tcPr>
            <w:tcW w:w="1487" w:type="dxa"/>
            <w:vAlign w:val="center"/>
          </w:tcPr>
          <w:p w14:paraId="61D55EC7">
            <w:pPr>
              <w:adjustRightInd w:val="0"/>
              <w:snapToGrid w:val="0"/>
              <w:jc w:val="center"/>
              <w:rPr>
                <w:rFonts w:eastAsia="方正书宋_GBK"/>
                <w:sz w:val="21"/>
                <w:szCs w:val="21"/>
              </w:rPr>
            </w:pPr>
            <w:r>
              <w:rPr>
                <w:rFonts w:hint="eastAsia" w:eastAsia="方正书宋_GBK"/>
                <w:sz w:val="21"/>
                <w:szCs w:val="21"/>
              </w:rPr>
              <w:t>≥90%</w:t>
            </w:r>
          </w:p>
        </w:tc>
        <w:tc>
          <w:tcPr>
            <w:tcW w:w="1487" w:type="dxa"/>
            <w:vAlign w:val="center"/>
          </w:tcPr>
          <w:p w14:paraId="0D6F6B72">
            <w:pPr>
              <w:adjustRightInd w:val="0"/>
              <w:snapToGrid w:val="0"/>
              <w:jc w:val="center"/>
              <w:rPr>
                <w:rFonts w:eastAsia="方正书宋_GBK"/>
                <w:sz w:val="21"/>
                <w:szCs w:val="21"/>
              </w:rPr>
            </w:pPr>
            <w:r>
              <w:rPr>
                <w:rFonts w:hint="eastAsia" w:eastAsia="方正书宋_GBK"/>
                <w:sz w:val="21"/>
                <w:szCs w:val="21"/>
              </w:rPr>
              <w:t>94%</w:t>
            </w:r>
          </w:p>
        </w:tc>
      </w:tr>
      <w:tr w14:paraId="264F85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16" w:type="dxa"/>
            <w:vMerge w:val="continue"/>
            <w:vAlign w:val="center"/>
          </w:tcPr>
          <w:p w14:paraId="5E1DCCBF">
            <w:pPr>
              <w:adjustRightInd w:val="0"/>
              <w:snapToGrid w:val="0"/>
              <w:rPr>
                <w:rFonts w:eastAsia="方正书宋_GBK"/>
                <w:sz w:val="21"/>
                <w:szCs w:val="21"/>
              </w:rPr>
            </w:pPr>
          </w:p>
        </w:tc>
        <w:tc>
          <w:tcPr>
            <w:tcW w:w="728" w:type="dxa"/>
            <w:vAlign w:val="center"/>
          </w:tcPr>
          <w:p w14:paraId="3B5E18ED">
            <w:pPr>
              <w:adjustRightInd w:val="0"/>
              <w:snapToGrid w:val="0"/>
              <w:jc w:val="center"/>
              <w:rPr>
                <w:rFonts w:eastAsia="方正书宋_GBK"/>
                <w:sz w:val="21"/>
                <w:szCs w:val="21"/>
              </w:rPr>
            </w:pPr>
            <w:r>
              <w:rPr>
                <w:rFonts w:hint="eastAsia" w:eastAsia="方正书宋_GBK"/>
                <w:sz w:val="21"/>
                <w:szCs w:val="21"/>
              </w:rPr>
              <w:t>3</w:t>
            </w:r>
          </w:p>
        </w:tc>
        <w:tc>
          <w:tcPr>
            <w:tcW w:w="4129" w:type="dxa"/>
            <w:vAlign w:val="center"/>
          </w:tcPr>
          <w:p w14:paraId="635E40B7">
            <w:pPr>
              <w:adjustRightInd w:val="0"/>
              <w:snapToGrid w:val="0"/>
              <w:rPr>
                <w:rFonts w:eastAsia="方正书宋_GBK"/>
                <w:sz w:val="21"/>
                <w:szCs w:val="21"/>
              </w:rPr>
            </w:pPr>
            <w:r>
              <w:rPr>
                <w:rFonts w:hint="eastAsia" w:eastAsia="方正书宋_GBK"/>
                <w:sz w:val="21"/>
                <w:szCs w:val="21"/>
              </w:rPr>
              <w:t>区域性气象灾害监测率</w:t>
            </w:r>
          </w:p>
        </w:tc>
        <w:tc>
          <w:tcPr>
            <w:tcW w:w="1487" w:type="dxa"/>
            <w:vAlign w:val="center"/>
          </w:tcPr>
          <w:p w14:paraId="5A696E3C">
            <w:pPr>
              <w:adjustRightInd w:val="0"/>
              <w:snapToGrid w:val="0"/>
              <w:jc w:val="center"/>
              <w:rPr>
                <w:rFonts w:eastAsia="方正书宋_GBK"/>
                <w:sz w:val="21"/>
                <w:szCs w:val="21"/>
              </w:rPr>
            </w:pPr>
            <w:r>
              <w:rPr>
                <w:rFonts w:hint="eastAsia" w:eastAsia="方正书宋_GBK"/>
                <w:sz w:val="21"/>
                <w:szCs w:val="21"/>
              </w:rPr>
              <w:t>≥98%</w:t>
            </w:r>
          </w:p>
        </w:tc>
        <w:tc>
          <w:tcPr>
            <w:tcW w:w="1487" w:type="dxa"/>
            <w:vAlign w:val="center"/>
          </w:tcPr>
          <w:p w14:paraId="01E57227">
            <w:pPr>
              <w:adjustRightInd w:val="0"/>
              <w:snapToGrid w:val="0"/>
              <w:jc w:val="center"/>
              <w:rPr>
                <w:rFonts w:eastAsia="方正书宋_GBK"/>
                <w:sz w:val="21"/>
                <w:szCs w:val="21"/>
              </w:rPr>
            </w:pPr>
            <w:r>
              <w:rPr>
                <w:rFonts w:hint="eastAsia" w:eastAsia="方正书宋_GBK"/>
                <w:sz w:val="21"/>
                <w:szCs w:val="21"/>
              </w:rPr>
              <w:t>98%</w:t>
            </w:r>
          </w:p>
        </w:tc>
      </w:tr>
      <w:tr w14:paraId="589900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16" w:type="dxa"/>
            <w:vMerge w:val="continue"/>
            <w:vAlign w:val="center"/>
          </w:tcPr>
          <w:p w14:paraId="3A54E37B">
            <w:pPr>
              <w:adjustRightInd w:val="0"/>
              <w:snapToGrid w:val="0"/>
              <w:rPr>
                <w:rFonts w:eastAsia="方正书宋_GBK"/>
                <w:sz w:val="21"/>
                <w:szCs w:val="21"/>
              </w:rPr>
            </w:pPr>
          </w:p>
        </w:tc>
        <w:tc>
          <w:tcPr>
            <w:tcW w:w="728" w:type="dxa"/>
            <w:vAlign w:val="center"/>
          </w:tcPr>
          <w:p w14:paraId="1C5591E8">
            <w:pPr>
              <w:adjustRightInd w:val="0"/>
              <w:snapToGrid w:val="0"/>
              <w:jc w:val="center"/>
              <w:rPr>
                <w:rFonts w:eastAsia="方正书宋_GBK"/>
                <w:sz w:val="21"/>
                <w:szCs w:val="21"/>
              </w:rPr>
            </w:pPr>
            <w:r>
              <w:rPr>
                <w:rFonts w:hint="eastAsia" w:eastAsia="方正书宋_GBK"/>
                <w:sz w:val="21"/>
                <w:szCs w:val="21"/>
              </w:rPr>
              <w:t>4</w:t>
            </w:r>
          </w:p>
        </w:tc>
        <w:tc>
          <w:tcPr>
            <w:tcW w:w="4129" w:type="dxa"/>
            <w:vAlign w:val="center"/>
          </w:tcPr>
          <w:p w14:paraId="2DF644DE">
            <w:pPr>
              <w:adjustRightInd w:val="0"/>
              <w:snapToGrid w:val="0"/>
              <w:rPr>
                <w:rFonts w:eastAsia="方正书宋_GBK"/>
                <w:sz w:val="21"/>
                <w:szCs w:val="21"/>
              </w:rPr>
            </w:pPr>
            <w:r>
              <w:rPr>
                <w:rFonts w:hint="eastAsia" w:eastAsia="方正书宋_GBK"/>
                <w:sz w:val="21"/>
                <w:szCs w:val="21"/>
              </w:rPr>
              <w:t>观测设备稳定运行率</w:t>
            </w:r>
          </w:p>
        </w:tc>
        <w:tc>
          <w:tcPr>
            <w:tcW w:w="1487" w:type="dxa"/>
            <w:vAlign w:val="center"/>
          </w:tcPr>
          <w:p w14:paraId="4BA47D12">
            <w:pPr>
              <w:adjustRightInd w:val="0"/>
              <w:snapToGrid w:val="0"/>
              <w:jc w:val="center"/>
              <w:rPr>
                <w:rFonts w:eastAsia="方正书宋_GBK"/>
                <w:sz w:val="21"/>
                <w:szCs w:val="21"/>
              </w:rPr>
            </w:pPr>
            <w:r>
              <w:rPr>
                <w:rFonts w:hint="eastAsia" w:eastAsia="方正书宋_GBK"/>
                <w:sz w:val="21"/>
                <w:szCs w:val="21"/>
              </w:rPr>
              <w:t>≥99%</w:t>
            </w:r>
          </w:p>
        </w:tc>
        <w:tc>
          <w:tcPr>
            <w:tcW w:w="1487" w:type="dxa"/>
            <w:vAlign w:val="center"/>
          </w:tcPr>
          <w:p w14:paraId="1B1187B3">
            <w:pPr>
              <w:adjustRightInd w:val="0"/>
              <w:snapToGrid w:val="0"/>
              <w:jc w:val="center"/>
              <w:rPr>
                <w:rFonts w:eastAsia="方正书宋_GBK"/>
                <w:sz w:val="21"/>
                <w:szCs w:val="21"/>
              </w:rPr>
            </w:pPr>
            <w:r>
              <w:rPr>
                <w:rFonts w:hint="eastAsia" w:eastAsia="方正书宋_GBK"/>
                <w:sz w:val="21"/>
                <w:szCs w:val="21"/>
              </w:rPr>
              <w:t>99.97%</w:t>
            </w:r>
          </w:p>
        </w:tc>
      </w:tr>
      <w:tr w14:paraId="2F4A2A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16" w:type="dxa"/>
            <w:vMerge w:val="continue"/>
            <w:vAlign w:val="center"/>
          </w:tcPr>
          <w:p w14:paraId="2E03B895">
            <w:pPr>
              <w:adjustRightInd w:val="0"/>
              <w:snapToGrid w:val="0"/>
              <w:rPr>
                <w:rFonts w:eastAsia="方正书宋_GBK"/>
                <w:sz w:val="21"/>
                <w:szCs w:val="21"/>
              </w:rPr>
            </w:pPr>
          </w:p>
        </w:tc>
        <w:tc>
          <w:tcPr>
            <w:tcW w:w="728" w:type="dxa"/>
            <w:vAlign w:val="center"/>
          </w:tcPr>
          <w:p w14:paraId="66433457">
            <w:pPr>
              <w:adjustRightInd w:val="0"/>
              <w:snapToGrid w:val="0"/>
              <w:jc w:val="center"/>
              <w:rPr>
                <w:rFonts w:eastAsia="方正书宋_GBK"/>
                <w:sz w:val="21"/>
                <w:szCs w:val="21"/>
              </w:rPr>
            </w:pPr>
            <w:r>
              <w:rPr>
                <w:rFonts w:hint="eastAsia" w:eastAsia="方正书宋_GBK"/>
                <w:sz w:val="21"/>
                <w:szCs w:val="21"/>
              </w:rPr>
              <w:t>5</w:t>
            </w:r>
          </w:p>
        </w:tc>
        <w:tc>
          <w:tcPr>
            <w:tcW w:w="4129" w:type="dxa"/>
            <w:vAlign w:val="center"/>
          </w:tcPr>
          <w:p w14:paraId="61905513">
            <w:pPr>
              <w:adjustRightInd w:val="0"/>
              <w:snapToGrid w:val="0"/>
              <w:rPr>
                <w:rFonts w:eastAsia="方正书宋_GBK"/>
                <w:sz w:val="21"/>
                <w:szCs w:val="21"/>
              </w:rPr>
            </w:pPr>
            <w:r>
              <w:rPr>
                <w:rFonts w:hint="eastAsia" w:eastAsia="方正书宋_GBK"/>
                <w:sz w:val="21"/>
                <w:szCs w:val="21"/>
              </w:rPr>
              <w:t>观测数据可用率</w:t>
            </w:r>
          </w:p>
        </w:tc>
        <w:tc>
          <w:tcPr>
            <w:tcW w:w="1487" w:type="dxa"/>
            <w:vAlign w:val="center"/>
          </w:tcPr>
          <w:p w14:paraId="2288793D">
            <w:pPr>
              <w:adjustRightInd w:val="0"/>
              <w:snapToGrid w:val="0"/>
              <w:jc w:val="center"/>
              <w:rPr>
                <w:rFonts w:eastAsia="方正书宋_GBK"/>
                <w:sz w:val="21"/>
                <w:szCs w:val="21"/>
              </w:rPr>
            </w:pPr>
            <w:r>
              <w:rPr>
                <w:rFonts w:hint="eastAsia" w:eastAsia="方正书宋_GBK"/>
                <w:sz w:val="21"/>
                <w:szCs w:val="21"/>
              </w:rPr>
              <w:t>≥99%</w:t>
            </w:r>
          </w:p>
        </w:tc>
        <w:tc>
          <w:tcPr>
            <w:tcW w:w="1487" w:type="dxa"/>
            <w:vAlign w:val="center"/>
          </w:tcPr>
          <w:p w14:paraId="6005714F">
            <w:pPr>
              <w:adjustRightInd w:val="0"/>
              <w:snapToGrid w:val="0"/>
              <w:jc w:val="center"/>
              <w:rPr>
                <w:rFonts w:eastAsia="方正书宋_GBK"/>
                <w:sz w:val="21"/>
                <w:szCs w:val="21"/>
              </w:rPr>
            </w:pPr>
            <w:r>
              <w:rPr>
                <w:rFonts w:hint="eastAsia" w:eastAsia="方正书宋_GBK"/>
                <w:sz w:val="21"/>
                <w:szCs w:val="21"/>
              </w:rPr>
              <w:t>99.99%</w:t>
            </w:r>
          </w:p>
        </w:tc>
      </w:tr>
      <w:tr w14:paraId="11BED2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16" w:type="dxa"/>
            <w:vMerge w:val="continue"/>
            <w:vAlign w:val="center"/>
          </w:tcPr>
          <w:p w14:paraId="09C27A7E">
            <w:pPr>
              <w:adjustRightInd w:val="0"/>
              <w:snapToGrid w:val="0"/>
              <w:rPr>
                <w:rFonts w:eastAsia="方正书宋_GBK"/>
                <w:sz w:val="21"/>
                <w:szCs w:val="21"/>
              </w:rPr>
            </w:pPr>
          </w:p>
        </w:tc>
        <w:tc>
          <w:tcPr>
            <w:tcW w:w="728" w:type="dxa"/>
            <w:vAlign w:val="center"/>
          </w:tcPr>
          <w:p w14:paraId="3A9E96DF">
            <w:pPr>
              <w:adjustRightInd w:val="0"/>
              <w:snapToGrid w:val="0"/>
              <w:jc w:val="center"/>
              <w:rPr>
                <w:rFonts w:eastAsia="方正书宋_GBK"/>
                <w:sz w:val="21"/>
                <w:szCs w:val="21"/>
              </w:rPr>
            </w:pPr>
            <w:r>
              <w:rPr>
                <w:rFonts w:hint="eastAsia" w:eastAsia="方正书宋_GBK"/>
                <w:sz w:val="21"/>
                <w:szCs w:val="21"/>
              </w:rPr>
              <w:t>6</w:t>
            </w:r>
          </w:p>
        </w:tc>
        <w:tc>
          <w:tcPr>
            <w:tcW w:w="4129" w:type="dxa"/>
            <w:vAlign w:val="center"/>
          </w:tcPr>
          <w:p w14:paraId="24ACC6A5">
            <w:pPr>
              <w:adjustRightInd w:val="0"/>
              <w:snapToGrid w:val="0"/>
              <w:rPr>
                <w:rFonts w:eastAsia="方正书宋_GBK"/>
                <w:sz w:val="21"/>
                <w:szCs w:val="21"/>
              </w:rPr>
            </w:pPr>
            <w:r>
              <w:rPr>
                <w:rFonts w:hint="eastAsia" w:eastAsia="方正书宋_GBK"/>
                <w:sz w:val="21"/>
                <w:szCs w:val="21"/>
              </w:rPr>
              <w:t>观测环境综合评分</w:t>
            </w:r>
          </w:p>
        </w:tc>
        <w:tc>
          <w:tcPr>
            <w:tcW w:w="1487" w:type="dxa"/>
            <w:vAlign w:val="center"/>
          </w:tcPr>
          <w:p w14:paraId="2DB3BA53">
            <w:pPr>
              <w:adjustRightInd w:val="0"/>
              <w:snapToGrid w:val="0"/>
              <w:jc w:val="center"/>
              <w:rPr>
                <w:rFonts w:eastAsia="方正书宋_GBK"/>
                <w:sz w:val="21"/>
                <w:szCs w:val="21"/>
              </w:rPr>
            </w:pPr>
            <w:r>
              <w:rPr>
                <w:rFonts w:hint="eastAsia" w:eastAsia="方正书宋_GBK"/>
                <w:sz w:val="21"/>
                <w:szCs w:val="21"/>
              </w:rPr>
              <w:t>85分</w:t>
            </w:r>
          </w:p>
        </w:tc>
        <w:tc>
          <w:tcPr>
            <w:tcW w:w="1487" w:type="dxa"/>
            <w:vAlign w:val="center"/>
          </w:tcPr>
          <w:p w14:paraId="64739CCC">
            <w:pPr>
              <w:adjustRightInd w:val="0"/>
              <w:snapToGrid w:val="0"/>
              <w:jc w:val="center"/>
              <w:rPr>
                <w:rFonts w:eastAsia="方正书宋_GBK"/>
                <w:sz w:val="21"/>
                <w:szCs w:val="21"/>
              </w:rPr>
            </w:pPr>
            <w:r>
              <w:rPr>
                <w:rFonts w:hint="eastAsia" w:eastAsia="方正书宋_GBK"/>
                <w:sz w:val="21"/>
                <w:szCs w:val="21"/>
              </w:rPr>
              <w:t>94分</w:t>
            </w:r>
          </w:p>
        </w:tc>
      </w:tr>
      <w:tr w14:paraId="2B04AE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16" w:type="dxa"/>
            <w:vMerge w:val="restart"/>
            <w:vAlign w:val="center"/>
          </w:tcPr>
          <w:p w14:paraId="4EDC7932">
            <w:pPr>
              <w:adjustRightInd w:val="0"/>
              <w:snapToGrid w:val="0"/>
              <w:rPr>
                <w:rFonts w:eastAsia="方正书宋_GBK"/>
                <w:sz w:val="21"/>
                <w:szCs w:val="21"/>
              </w:rPr>
            </w:pPr>
            <w:r>
              <w:rPr>
                <w:rFonts w:hint="eastAsia" w:eastAsia="方正书宋_GBK"/>
                <w:sz w:val="21"/>
                <w:szCs w:val="21"/>
              </w:rPr>
              <w:t>气象预报</w:t>
            </w:r>
          </w:p>
        </w:tc>
        <w:tc>
          <w:tcPr>
            <w:tcW w:w="728" w:type="dxa"/>
            <w:vAlign w:val="center"/>
          </w:tcPr>
          <w:p w14:paraId="4F32EF48">
            <w:pPr>
              <w:adjustRightInd w:val="0"/>
              <w:snapToGrid w:val="0"/>
              <w:jc w:val="center"/>
              <w:rPr>
                <w:rFonts w:eastAsia="方正书宋_GBK"/>
                <w:sz w:val="21"/>
                <w:szCs w:val="21"/>
              </w:rPr>
            </w:pPr>
            <w:r>
              <w:rPr>
                <w:rFonts w:hint="eastAsia" w:eastAsia="方正书宋_GBK"/>
                <w:sz w:val="21"/>
                <w:szCs w:val="21"/>
              </w:rPr>
              <w:t>7</w:t>
            </w:r>
          </w:p>
        </w:tc>
        <w:tc>
          <w:tcPr>
            <w:tcW w:w="4129" w:type="dxa"/>
            <w:vAlign w:val="center"/>
          </w:tcPr>
          <w:p w14:paraId="01EE4FC3">
            <w:pPr>
              <w:adjustRightInd w:val="0"/>
              <w:snapToGrid w:val="0"/>
              <w:rPr>
                <w:rFonts w:eastAsia="方正书宋_GBK"/>
                <w:sz w:val="21"/>
                <w:szCs w:val="21"/>
              </w:rPr>
            </w:pPr>
            <w:r>
              <w:rPr>
                <w:rFonts w:hint="eastAsia" w:eastAsia="方正书宋_GBK"/>
                <w:sz w:val="21"/>
                <w:szCs w:val="21"/>
              </w:rPr>
              <w:t>短期晴雨预报准确率</w:t>
            </w:r>
          </w:p>
        </w:tc>
        <w:tc>
          <w:tcPr>
            <w:tcW w:w="1487" w:type="dxa"/>
            <w:vAlign w:val="center"/>
          </w:tcPr>
          <w:p w14:paraId="36920F92">
            <w:pPr>
              <w:adjustRightInd w:val="0"/>
              <w:snapToGrid w:val="0"/>
              <w:jc w:val="center"/>
              <w:rPr>
                <w:rFonts w:eastAsia="方正书宋_GBK"/>
                <w:sz w:val="21"/>
                <w:szCs w:val="21"/>
              </w:rPr>
            </w:pPr>
            <w:r>
              <w:rPr>
                <w:rFonts w:hint="eastAsia" w:eastAsia="方正书宋_GBK"/>
                <w:sz w:val="21"/>
                <w:szCs w:val="21"/>
              </w:rPr>
              <w:t>≥90%</w:t>
            </w:r>
          </w:p>
        </w:tc>
        <w:tc>
          <w:tcPr>
            <w:tcW w:w="1487" w:type="dxa"/>
            <w:vAlign w:val="center"/>
          </w:tcPr>
          <w:p w14:paraId="6B1C85E9">
            <w:pPr>
              <w:adjustRightInd w:val="0"/>
              <w:snapToGrid w:val="0"/>
              <w:jc w:val="center"/>
              <w:rPr>
                <w:rFonts w:eastAsia="方正书宋_GBK"/>
                <w:sz w:val="21"/>
                <w:szCs w:val="21"/>
              </w:rPr>
            </w:pPr>
            <w:r>
              <w:rPr>
                <w:rFonts w:hint="eastAsia" w:eastAsia="方正书宋_GBK"/>
                <w:sz w:val="21"/>
                <w:szCs w:val="21"/>
              </w:rPr>
              <w:t>90%</w:t>
            </w:r>
          </w:p>
        </w:tc>
      </w:tr>
      <w:tr w14:paraId="72CEA2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16" w:type="dxa"/>
            <w:vMerge w:val="continue"/>
            <w:vAlign w:val="center"/>
          </w:tcPr>
          <w:p w14:paraId="26937FAC">
            <w:pPr>
              <w:adjustRightInd w:val="0"/>
              <w:snapToGrid w:val="0"/>
              <w:rPr>
                <w:rFonts w:eastAsia="方正书宋_GBK"/>
                <w:sz w:val="21"/>
                <w:szCs w:val="21"/>
              </w:rPr>
            </w:pPr>
          </w:p>
        </w:tc>
        <w:tc>
          <w:tcPr>
            <w:tcW w:w="728" w:type="dxa"/>
            <w:vAlign w:val="center"/>
          </w:tcPr>
          <w:p w14:paraId="509947BC">
            <w:pPr>
              <w:adjustRightInd w:val="0"/>
              <w:snapToGrid w:val="0"/>
              <w:jc w:val="center"/>
              <w:rPr>
                <w:rFonts w:eastAsia="方正书宋_GBK"/>
                <w:sz w:val="21"/>
                <w:szCs w:val="21"/>
              </w:rPr>
            </w:pPr>
            <w:r>
              <w:rPr>
                <w:rFonts w:hint="eastAsia" w:eastAsia="方正书宋_GBK"/>
                <w:sz w:val="21"/>
                <w:szCs w:val="21"/>
              </w:rPr>
              <w:t>8</w:t>
            </w:r>
          </w:p>
        </w:tc>
        <w:tc>
          <w:tcPr>
            <w:tcW w:w="4129" w:type="dxa"/>
            <w:vAlign w:val="center"/>
          </w:tcPr>
          <w:p w14:paraId="10A9D2CF">
            <w:pPr>
              <w:adjustRightInd w:val="0"/>
              <w:snapToGrid w:val="0"/>
              <w:rPr>
                <w:rFonts w:eastAsia="方正书宋_GBK"/>
                <w:sz w:val="21"/>
                <w:szCs w:val="21"/>
              </w:rPr>
            </w:pPr>
            <w:r>
              <w:rPr>
                <w:rFonts w:hint="eastAsia" w:eastAsia="方正书宋_GBK"/>
                <w:sz w:val="21"/>
                <w:szCs w:val="21"/>
              </w:rPr>
              <w:t>灾害性天气预警准确率</w:t>
            </w:r>
          </w:p>
        </w:tc>
        <w:tc>
          <w:tcPr>
            <w:tcW w:w="1487" w:type="dxa"/>
            <w:vAlign w:val="center"/>
          </w:tcPr>
          <w:p w14:paraId="31B8102C">
            <w:pPr>
              <w:adjustRightInd w:val="0"/>
              <w:snapToGrid w:val="0"/>
              <w:jc w:val="center"/>
              <w:rPr>
                <w:rFonts w:eastAsia="方正书宋_GBK"/>
                <w:sz w:val="21"/>
                <w:szCs w:val="21"/>
              </w:rPr>
            </w:pPr>
            <w:r>
              <w:rPr>
                <w:rFonts w:hint="eastAsia" w:eastAsia="方正书宋_GBK"/>
                <w:sz w:val="21"/>
                <w:szCs w:val="21"/>
              </w:rPr>
              <w:t>≥82%</w:t>
            </w:r>
          </w:p>
        </w:tc>
        <w:tc>
          <w:tcPr>
            <w:tcW w:w="1487" w:type="dxa"/>
            <w:vAlign w:val="center"/>
          </w:tcPr>
          <w:p w14:paraId="7F7CF4BE">
            <w:pPr>
              <w:adjustRightInd w:val="0"/>
              <w:snapToGrid w:val="0"/>
              <w:jc w:val="center"/>
              <w:rPr>
                <w:rFonts w:eastAsia="方正书宋_GBK"/>
                <w:sz w:val="21"/>
                <w:szCs w:val="21"/>
              </w:rPr>
            </w:pPr>
            <w:r>
              <w:rPr>
                <w:rFonts w:hint="eastAsia" w:eastAsia="方正书宋_GBK"/>
                <w:sz w:val="21"/>
                <w:szCs w:val="21"/>
              </w:rPr>
              <w:t>82%</w:t>
            </w:r>
          </w:p>
        </w:tc>
      </w:tr>
      <w:tr w14:paraId="5C2615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16" w:type="dxa"/>
            <w:vMerge w:val="continue"/>
            <w:vAlign w:val="center"/>
          </w:tcPr>
          <w:p w14:paraId="777FB954">
            <w:pPr>
              <w:adjustRightInd w:val="0"/>
              <w:snapToGrid w:val="0"/>
              <w:rPr>
                <w:rFonts w:eastAsia="方正书宋_GBK"/>
                <w:sz w:val="21"/>
                <w:szCs w:val="21"/>
              </w:rPr>
            </w:pPr>
          </w:p>
        </w:tc>
        <w:tc>
          <w:tcPr>
            <w:tcW w:w="728" w:type="dxa"/>
            <w:vAlign w:val="center"/>
          </w:tcPr>
          <w:p w14:paraId="436E9277">
            <w:pPr>
              <w:adjustRightInd w:val="0"/>
              <w:snapToGrid w:val="0"/>
              <w:jc w:val="center"/>
              <w:rPr>
                <w:rFonts w:eastAsia="方正书宋_GBK"/>
                <w:sz w:val="21"/>
                <w:szCs w:val="21"/>
              </w:rPr>
            </w:pPr>
            <w:r>
              <w:rPr>
                <w:rFonts w:hint="eastAsia" w:eastAsia="方正书宋_GBK"/>
                <w:sz w:val="21"/>
                <w:szCs w:val="21"/>
              </w:rPr>
              <w:t>9</w:t>
            </w:r>
          </w:p>
        </w:tc>
        <w:tc>
          <w:tcPr>
            <w:tcW w:w="4129" w:type="dxa"/>
            <w:vAlign w:val="center"/>
          </w:tcPr>
          <w:p w14:paraId="4DC09545">
            <w:pPr>
              <w:adjustRightInd w:val="0"/>
              <w:snapToGrid w:val="0"/>
              <w:rPr>
                <w:rFonts w:eastAsia="方正书宋_GBK"/>
                <w:sz w:val="21"/>
                <w:szCs w:val="21"/>
              </w:rPr>
            </w:pPr>
            <w:r>
              <w:rPr>
                <w:rFonts w:hint="eastAsia" w:eastAsia="方正书宋_GBK"/>
                <w:sz w:val="21"/>
                <w:szCs w:val="21"/>
              </w:rPr>
              <w:t>气象灾害分域预警平均时效</w:t>
            </w:r>
          </w:p>
        </w:tc>
        <w:tc>
          <w:tcPr>
            <w:tcW w:w="1487" w:type="dxa"/>
            <w:vAlign w:val="center"/>
          </w:tcPr>
          <w:p w14:paraId="019FA667">
            <w:pPr>
              <w:adjustRightInd w:val="0"/>
              <w:snapToGrid w:val="0"/>
              <w:jc w:val="center"/>
              <w:rPr>
                <w:rFonts w:eastAsia="方正书宋_GBK"/>
                <w:sz w:val="21"/>
                <w:szCs w:val="21"/>
              </w:rPr>
            </w:pPr>
            <w:r>
              <w:rPr>
                <w:rFonts w:hint="eastAsia" w:eastAsia="方正书宋_GBK"/>
                <w:sz w:val="21"/>
                <w:szCs w:val="21"/>
              </w:rPr>
              <w:t>≥30分钟</w:t>
            </w:r>
          </w:p>
        </w:tc>
        <w:tc>
          <w:tcPr>
            <w:tcW w:w="1487" w:type="dxa"/>
            <w:vAlign w:val="center"/>
          </w:tcPr>
          <w:p w14:paraId="0D4ECAB5">
            <w:pPr>
              <w:adjustRightInd w:val="0"/>
              <w:snapToGrid w:val="0"/>
              <w:jc w:val="center"/>
              <w:rPr>
                <w:rFonts w:eastAsia="方正书宋_GBK"/>
                <w:sz w:val="21"/>
                <w:szCs w:val="21"/>
              </w:rPr>
            </w:pPr>
            <w:r>
              <w:rPr>
                <w:rFonts w:hint="eastAsia" w:eastAsia="方正书宋_GBK"/>
                <w:sz w:val="21"/>
                <w:szCs w:val="21"/>
              </w:rPr>
              <w:t>40分钟</w:t>
            </w:r>
          </w:p>
        </w:tc>
      </w:tr>
      <w:tr w14:paraId="529BDF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16" w:type="dxa"/>
            <w:vMerge w:val="continue"/>
            <w:vAlign w:val="center"/>
          </w:tcPr>
          <w:p w14:paraId="7B8F1C6F">
            <w:pPr>
              <w:adjustRightInd w:val="0"/>
              <w:snapToGrid w:val="0"/>
              <w:rPr>
                <w:rFonts w:eastAsia="方正书宋_GBK"/>
                <w:sz w:val="21"/>
                <w:szCs w:val="21"/>
              </w:rPr>
            </w:pPr>
          </w:p>
        </w:tc>
        <w:tc>
          <w:tcPr>
            <w:tcW w:w="728" w:type="dxa"/>
            <w:vAlign w:val="center"/>
          </w:tcPr>
          <w:p w14:paraId="7750DABE">
            <w:pPr>
              <w:adjustRightInd w:val="0"/>
              <w:snapToGrid w:val="0"/>
              <w:jc w:val="center"/>
              <w:rPr>
                <w:rFonts w:eastAsia="方正书宋_GBK"/>
                <w:sz w:val="21"/>
                <w:szCs w:val="21"/>
              </w:rPr>
            </w:pPr>
            <w:r>
              <w:rPr>
                <w:rFonts w:hint="eastAsia" w:eastAsia="方正书宋_GBK"/>
                <w:sz w:val="21"/>
                <w:szCs w:val="21"/>
              </w:rPr>
              <w:t>10</w:t>
            </w:r>
          </w:p>
        </w:tc>
        <w:tc>
          <w:tcPr>
            <w:tcW w:w="4129" w:type="dxa"/>
            <w:vAlign w:val="center"/>
          </w:tcPr>
          <w:p w14:paraId="0A27514E">
            <w:pPr>
              <w:adjustRightInd w:val="0"/>
              <w:snapToGrid w:val="0"/>
              <w:rPr>
                <w:rFonts w:eastAsia="方正书宋_GBK"/>
                <w:sz w:val="21"/>
                <w:szCs w:val="21"/>
              </w:rPr>
            </w:pPr>
            <w:r>
              <w:rPr>
                <w:rFonts w:hint="eastAsia" w:eastAsia="方正书宋_GBK"/>
                <w:sz w:val="21"/>
                <w:szCs w:val="21"/>
              </w:rPr>
              <w:t>短期气候预测准确率</w:t>
            </w:r>
          </w:p>
        </w:tc>
        <w:tc>
          <w:tcPr>
            <w:tcW w:w="1487" w:type="dxa"/>
            <w:vAlign w:val="center"/>
          </w:tcPr>
          <w:p w14:paraId="66E0FED5">
            <w:pPr>
              <w:adjustRightInd w:val="0"/>
              <w:snapToGrid w:val="0"/>
              <w:jc w:val="center"/>
              <w:rPr>
                <w:rFonts w:eastAsia="方正书宋_GBK"/>
                <w:sz w:val="21"/>
                <w:szCs w:val="21"/>
              </w:rPr>
            </w:pPr>
            <w:r>
              <w:rPr>
                <w:rFonts w:hint="eastAsia" w:eastAsia="方正书宋_GBK"/>
                <w:sz w:val="21"/>
                <w:szCs w:val="21"/>
              </w:rPr>
              <w:t>≥80%</w:t>
            </w:r>
          </w:p>
        </w:tc>
        <w:tc>
          <w:tcPr>
            <w:tcW w:w="1487" w:type="dxa"/>
            <w:vAlign w:val="center"/>
          </w:tcPr>
          <w:p w14:paraId="050CA63B">
            <w:pPr>
              <w:adjustRightInd w:val="0"/>
              <w:snapToGrid w:val="0"/>
              <w:jc w:val="center"/>
              <w:rPr>
                <w:rFonts w:eastAsia="方正书宋_GBK"/>
                <w:sz w:val="21"/>
                <w:szCs w:val="21"/>
              </w:rPr>
            </w:pPr>
            <w:r>
              <w:rPr>
                <w:rFonts w:hint="eastAsia" w:eastAsia="方正书宋_GBK"/>
                <w:sz w:val="21"/>
                <w:szCs w:val="21"/>
              </w:rPr>
              <w:t>80%</w:t>
            </w:r>
          </w:p>
        </w:tc>
      </w:tr>
      <w:tr w14:paraId="5B1E99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97" w:hRule="atLeast"/>
        </w:trPr>
        <w:tc>
          <w:tcPr>
            <w:tcW w:w="1116" w:type="dxa"/>
            <w:vMerge w:val="restart"/>
            <w:vAlign w:val="center"/>
          </w:tcPr>
          <w:p w14:paraId="52C4FF18">
            <w:pPr>
              <w:adjustRightInd w:val="0"/>
              <w:snapToGrid w:val="0"/>
              <w:rPr>
                <w:rFonts w:eastAsia="方正书宋_GBK"/>
                <w:sz w:val="21"/>
                <w:szCs w:val="21"/>
              </w:rPr>
            </w:pPr>
            <w:r>
              <w:rPr>
                <w:rFonts w:hint="eastAsia" w:eastAsia="方正书宋_GBK"/>
                <w:sz w:val="21"/>
                <w:szCs w:val="21"/>
              </w:rPr>
              <w:t>气象服务</w:t>
            </w:r>
          </w:p>
        </w:tc>
        <w:tc>
          <w:tcPr>
            <w:tcW w:w="728" w:type="dxa"/>
            <w:vAlign w:val="center"/>
          </w:tcPr>
          <w:p w14:paraId="58776DB5">
            <w:pPr>
              <w:adjustRightInd w:val="0"/>
              <w:snapToGrid w:val="0"/>
              <w:jc w:val="center"/>
              <w:rPr>
                <w:rFonts w:eastAsia="方正书宋_GBK"/>
                <w:sz w:val="21"/>
                <w:szCs w:val="21"/>
              </w:rPr>
            </w:pPr>
            <w:r>
              <w:rPr>
                <w:rFonts w:hint="eastAsia" w:eastAsia="方正书宋_GBK"/>
                <w:sz w:val="21"/>
                <w:szCs w:val="21"/>
              </w:rPr>
              <w:t>11</w:t>
            </w:r>
          </w:p>
        </w:tc>
        <w:tc>
          <w:tcPr>
            <w:tcW w:w="4129" w:type="dxa"/>
            <w:vAlign w:val="center"/>
          </w:tcPr>
          <w:p w14:paraId="0AA0019C">
            <w:pPr>
              <w:adjustRightInd w:val="0"/>
              <w:snapToGrid w:val="0"/>
              <w:rPr>
                <w:rFonts w:eastAsia="方正书宋_GBK"/>
                <w:sz w:val="21"/>
                <w:szCs w:val="21"/>
              </w:rPr>
            </w:pPr>
            <w:r>
              <w:rPr>
                <w:rFonts w:hint="eastAsia" w:eastAsia="方正书宋_GBK"/>
                <w:sz w:val="21"/>
                <w:szCs w:val="21"/>
              </w:rPr>
              <w:t>气象预警信息覆盖面</w:t>
            </w:r>
          </w:p>
        </w:tc>
        <w:tc>
          <w:tcPr>
            <w:tcW w:w="1487" w:type="dxa"/>
            <w:vAlign w:val="center"/>
          </w:tcPr>
          <w:p w14:paraId="004774BB">
            <w:pPr>
              <w:adjustRightInd w:val="0"/>
              <w:snapToGrid w:val="0"/>
              <w:jc w:val="center"/>
              <w:rPr>
                <w:rFonts w:eastAsia="方正书宋_GBK"/>
                <w:sz w:val="21"/>
                <w:szCs w:val="21"/>
              </w:rPr>
            </w:pPr>
            <w:r>
              <w:rPr>
                <w:rFonts w:hint="eastAsia" w:eastAsia="方正书宋_GBK"/>
                <w:sz w:val="21"/>
                <w:szCs w:val="21"/>
              </w:rPr>
              <w:t>≥98%</w:t>
            </w:r>
          </w:p>
        </w:tc>
        <w:tc>
          <w:tcPr>
            <w:tcW w:w="1487" w:type="dxa"/>
            <w:vAlign w:val="center"/>
          </w:tcPr>
          <w:p w14:paraId="22E542F4">
            <w:pPr>
              <w:adjustRightInd w:val="0"/>
              <w:snapToGrid w:val="0"/>
              <w:jc w:val="center"/>
              <w:rPr>
                <w:rFonts w:eastAsia="方正书宋_GBK"/>
                <w:sz w:val="21"/>
                <w:szCs w:val="21"/>
              </w:rPr>
            </w:pPr>
            <w:r>
              <w:rPr>
                <w:rFonts w:hint="eastAsia" w:eastAsia="方正书宋_GBK"/>
                <w:sz w:val="21"/>
                <w:szCs w:val="21"/>
              </w:rPr>
              <w:t>98%</w:t>
            </w:r>
          </w:p>
        </w:tc>
      </w:tr>
      <w:tr w14:paraId="57D1A9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16" w:type="dxa"/>
            <w:vMerge w:val="continue"/>
            <w:vAlign w:val="center"/>
          </w:tcPr>
          <w:p w14:paraId="39F85731">
            <w:pPr>
              <w:adjustRightInd w:val="0"/>
              <w:snapToGrid w:val="0"/>
              <w:rPr>
                <w:rFonts w:eastAsia="方正书宋_GBK"/>
                <w:sz w:val="21"/>
                <w:szCs w:val="21"/>
              </w:rPr>
            </w:pPr>
          </w:p>
        </w:tc>
        <w:tc>
          <w:tcPr>
            <w:tcW w:w="728" w:type="dxa"/>
            <w:vAlign w:val="center"/>
          </w:tcPr>
          <w:p w14:paraId="495AB9B9">
            <w:pPr>
              <w:adjustRightInd w:val="0"/>
              <w:snapToGrid w:val="0"/>
              <w:jc w:val="center"/>
              <w:rPr>
                <w:rFonts w:eastAsia="方正书宋_GBK"/>
                <w:sz w:val="21"/>
                <w:szCs w:val="21"/>
              </w:rPr>
            </w:pPr>
            <w:r>
              <w:rPr>
                <w:rFonts w:hint="eastAsia" w:eastAsia="方正书宋_GBK"/>
                <w:sz w:val="21"/>
                <w:szCs w:val="21"/>
              </w:rPr>
              <w:t>12</w:t>
            </w:r>
          </w:p>
        </w:tc>
        <w:tc>
          <w:tcPr>
            <w:tcW w:w="4129" w:type="dxa"/>
            <w:vAlign w:val="center"/>
          </w:tcPr>
          <w:p w14:paraId="61D6B678">
            <w:pPr>
              <w:adjustRightInd w:val="0"/>
              <w:snapToGrid w:val="0"/>
              <w:rPr>
                <w:rFonts w:eastAsia="方正书宋_GBK"/>
                <w:sz w:val="21"/>
                <w:szCs w:val="21"/>
              </w:rPr>
            </w:pPr>
            <w:r>
              <w:rPr>
                <w:rFonts w:hint="eastAsia" w:eastAsia="方正书宋_GBK"/>
                <w:sz w:val="21"/>
                <w:szCs w:val="21"/>
              </w:rPr>
              <w:t>气象灾害防御体系完备率</w:t>
            </w:r>
          </w:p>
        </w:tc>
        <w:tc>
          <w:tcPr>
            <w:tcW w:w="1487" w:type="dxa"/>
            <w:vAlign w:val="center"/>
          </w:tcPr>
          <w:p w14:paraId="6E9F3871">
            <w:pPr>
              <w:adjustRightInd w:val="0"/>
              <w:snapToGrid w:val="0"/>
              <w:jc w:val="center"/>
              <w:rPr>
                <w:rFonts w:eastAsia="方正书宋_GBK"/>
                <w:sz w:val="21"/>
                <w:szCs w:val="21"/>
              </w:rPr>
            </w:pPr>
            <w:r>
              <w:rPr>
                <w:rFonts w:hint="eastAsia" w:eastAsia="方正书宋_GBK"/>
                <w:sz w:val="21"/>
                <w:szCs w:val="21"/>
              </w:rPr>
              <w:t>≥85%</w:t>
            </w:r>
          </w:p>
        </w:tc>
        <w:tc>
          <w:tcPr>
            <w:tcW w:w="1487" w:type="dxa"/>
            <w:vAlign w:val="center"/>
          </w:tcPr>
          <w:p w14:paraId="0DC4950A">
            <w:pPr>
              <w:adjustRightInd w:val="0"/>
              <w:snapToGrid w:val="0"/>
              <w:jc w:val="center"/>
              <w:rPr>
                <w:rFonts w:eastAsia="方正书宋_GBK"/>
                <w:sz w:val="21"/>
                <w:szCs w:val="21"/>
              </w:rPr>
            </w:pPr>
            <w:r>
              <w:rPr>
                <w:rFonts w:hint="eastAsia" w:eastAsia="方正书宋_GBK"/>
                <w:sz w:val="21"/>
                <w:szCs w:val="21"/>
              </w:rPr>
              <w:t>90%</w:t>
            </w:r>
          </w:p>
        </w:tc>
      </w:tr>
      <w:tr w14:paraId="4B184C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16" w:type="dxa"/>
            <w:vMerge w:val="continue"/>
            <w:vAlign w:val="center"/>
          </w:tcPr>
          <w:p w14:paraId="5915B38F">
            <w:pPr>
              <w:adjustRightInd w:val="0"/>
              <w:snapToGrid w:val="0"/>
              <w:rPr>
                <w:rFonts w:eastAsia="方正书宋_GBK"/>
                <w:sz w:val="21"/>
                <w:szCs w:val="21"/>
              </w:rPr>
            </w:pPr>
          </w:p>
        </w:tc>
        <w:tc>
          <w:tcPr>
            <w:tcW w:w="728" w:type="dxa"/>
            <w:vAlign w:val="center"/>
          </w:tcPr>
          <w:p w14:paraId="03C17D1C">
            <w:pPr>
              <w:adjustRightInd w:val="0"/>
              <w:snapToGrid w:val="0"/>
              <w:jc w:val="center"/>
              <w:rPr>
                <w:rFonts w:eastAsia="方正书宋_GBK"/>
                <w:sz w:val="21"/>
                <w:szCs w:val="21"/>
              </w:rPr>
            </w:pPr>
            <w:r>
              <w:rPr>
                <w:rFonts w:hint="eastAsia" w:eastAsia="方正书宋_GBK"/>
                <w:sz w:val="21"/>
                <w:szCs w:val="21"/>
              </w:rPr>
              <w:t>13</w:t>
            </w:r>
          </w:p>
        </w:tc>
        <w:tc>
          <w:tcPr>
            <w:tcW w:w="4129" w:type="dxa"/>
            <w:vAlign w:val="center"/>
          </w:tcPr>
          <w:p w14:paraId="7AC8E75E">
            <w:pPr>
              <w:adjustRightInd w:val="0"/>
              <w:snapToGrid w:val="0"/>
              <w:rPr>
                <w:rFonts w:eastAsia="方正书宋_GBK"/>
                <w:sz w:val="21"/>
                <w:szCs w:val="21"/>
              </w:rPr>
            </w:pPr>
            <w:r>
              <w:rPr>
                <w:rFonts w:hint="eastAsia" w:eastAsia="方正书宋_GBK"/>
                <w:sz w:val="21"/>
                <w:szCs w:val="21"/>
              </w:rPr>
              <w:t>区气象科普馆建成率</w:t>
            </w:r>
          </w:p>
        </w:tc>
        <w:tc>
          <w:tcPr>
            <w:tcW w:w="1487" w:type="dxa"/>
            <w:vAlign w:val="center"/>
          </w:tcPr>
          <w:p w14:paraId="4BA426B5">
            <w:pPr>
              <w:adjustRightInd w:val="0"/>
              <w:snapToGrid w:val="0"/>
              <w:jc w:val="center"/>
              <w:rPr>
                <w:rFonts w:eastAsia="方正书宋_GBK"/>
                <w:sz w:val="21"/>
                <w:szCs w:val="21"/>
              </w:rPr>
            </w:pPr>
            <w:r>
              <w:rPr>
                <w:rFonts w:hint="eastAsia" w:eastAsia="方正书宋_GBK"/>
                <w:sz w:val="21"/>
                <w:szCs w:val="21"/>
              </w:rPr>
              <w:t>≥95%</w:t>
            </w:r>
          </w:p>
        </w:tc>
        <w:tc>
          <w:tcPr>
            <w:tcW w:w="1487" w:type="dxa"/>
            <w:vAlign w:val="center"/>
          </w:tcPr>
          <w:p w14:paraId="214F76F7">
            <w:pPr>
              <w:adjustRightInd w:val="0"/>
              <w:snapToGrid w:val="0"/>
              <w:jc w:val="center"/>
              <w:rPr>
                <w:rFonts w:eastAsia="方正书宋_GBK"/>
                <w:sz w:val="21"/>
                <w:szCs w:val="21"/>
              </w:rPr>
            </w:pPr>
            <w:r>
              <w:rPr>
                <w:rFonts w:hint="eastAsia" w:eastAsia="方正书宋_GBK"/>
                <w:sz w:val="21"/>
                <w:szCs w:val="21"/>
              </w:rPr>
              <w:t>100%</w:t>
            </w:r>
          </w:p>
        </w:tc>
      </w:tr>
      <w:tr w14:paraId="35213C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16" w:type="dxa"/>
            <w:vMerge w:val="continue"/>
            <w:vAlign w:val="center"/>
          </w:tcPr>
          <w:p w14:paraId="58972D6F">
            <w:pPr>
              <w:adjustRightInd w:val="0"/>
              <w:snapToGrid w:val="0"/>
              <w:rPr>
                <w:rFonts w:eastAsia="方正书宋_GBK"/>
                <w:sz w:val="21"/>
                <w:szCs w:val="21"/>
              </w:rPr>
            </w:pPr>
          </w:p>
        </w:tc>
        <w:tc>
          <w:tcPr>
            <w:tcW w:w="728" w:type="dxa"/>
            <w:vAlign w:val="center"/>
          </w:tcPr>
          <w:p w14:paraId="2B6DC172">
            <w:pPr>
              <w:adjustRightInd w:val="0"/>
              <w:snapToGrid w:val="0"/>
              <w:jc w:val="center"/>
              <w:rPr>
                <w:rFonts w:eastAsia="方正书宋_GBK"/>
                <w:sz w:val="21"/>
                <w:szCs w:val="21"/>
              </w:rPr>
            </w:pPr>
            <w:r>
              <w:rPr>
                <w:rFonts w:hint="eastAsia" w:eastAsia="方正书宋_GBK"/>
                <w:sz w:val="21"/>
                <w:szCs w:val="21"/>
              </w:rPr>
              <w:t>14</w:t>
            </w:r>
          </w:p>
        </w:tc>
        <w:tc>
          <w:tcPr>
            <w:tcW w:w="4129" w:type="dxa"/>
            <w:vAlign w:val="center"/>
          </w:tcPr>
          <w:p w14:paraId="79409706">
            <w:pPr>
              <w:adjustRightInd w:val="0"/>
              <w:snapToGrid w:val="0"/>
              <w:rPr>
                <w:rFonts w:eastAsia="方正书宋_GBK"/>
                <w:sz w:val="21"/>
                <w:szCs w:val="21"/>
              </w:rPr>
            </w:pPr>
            <w:r>
              <w:rPr>
                <w:rFonts w:hint="eastAsia" w:eastAsia="方正书宋_GBK"/>
                <w:sz w:val="21"/>
                <w:szCs w:val="21"/>
              </w:rPr>
              <w:t>基本气象信息社会共享率</w:t>
            </w:r>
          </w:p>
        </w:tc>
        <w:tc>
          <w:tcPr>
            <w:tcW w:w="1487" w:type="dxa"/>
            <w:vAlign w:val="center"/>
          </w:tcPr>
          <w:p w14:paraId="3187A2D9">
            <w:pPr>
              <w:adjustRightInd w:val="0"/>
              <w:snapToGrid w:val="0"/>
              <w:jc w:val="center"/>
              <w:rPr>
                <w:rFonts w:eastAsia="方正书宋_GBK"/>
                <w:sz w:val="21"/>
                <w:szCs w:val="21"/>
              </w:rPr>
            </w:pPr>
            <w:r>
              <w:rPr>
                <w:rFonts w:hint="eastAsia" w:eastAsia="方正书宋_GBK"/>
                <w:sz w:val="21"/>
                <w:szCs w:val="21"/>
              </w:rPr>
              <w:t>≥90%</w:t>
            </w:r>
          </w:p>
        </w:tc>
        <w:tc>
          <w:tcPr>
            <w:tcW w:w="1487" w:type="dxa"/>
            <w:vAlign w:val="center"/>
          </w:tcPr>
          <w:p w14:paraId="032D2B18">
            <w:pPr>
              <w:adjustRightInd w:val="0"/>
              <w:snapToGrid w:val="0"/>
              <w:jc w:val="center"/>
              <w:rPr>
                <w:rFonts w:eastAsia="方正书宋_GBK"/>
                <w:sz w:val="21"/>
                <w:szCs w:val="21"/>
              </w:rPr>
            </w:pPr>
            <w:r>
              <w:rPr>
                <w:rFonts w:hint="eastAsia" w:eastAsia="方正书宋_GBK"/>
                <w:sz w:val="21"/>
                <w:szCs w:val="21"/>
              </w:rPr>
              <w:t>90%</w:t>
            </w:r>
          </w:p>
        </w:tc>
      </w:tr>
      <w:tr w14:paraId="1BCA2C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16" w:type="dxa"/>
            <w:vMerge w:val="continue"/>
            <w:vAlign w:val="center"/>
          </w:tcPr>
          <w:p w14:paraId="777EE4F3">
            <w:pPr>
              <w:adjustRightInd w:val="0"/>
              <w:snapToGrid w:val="0"/>
              <w:rPr>
                <w:rFonts w:eastAsia="方正书宋_GBK"/>
                <w:sz w:val="21"/>
                <w:szCs w:val="21"/>
              </w:rPr>
            </w:pPr>
          </w:p>
        </w:tc>
        <w:tc>
          <w:tcPr>
            <w:tcW w:w="728" w:type="dxa"/>
            <w:vAlign w:val="center"/>
          </w:tcPr>
          <w:p w14:paraId="12E06747">
            <w:pPr>
              <w:adjustRightInd w:val="0"/>
              <w:snapToGrid w:val="0"/>
              <w:jc w:val="center"/>
              <w:rPr>
                <w:rFonts w:eastAsia="方正书宋_GBK"/>
                <w:sz w:val="21"/>
                <w:szCs w:val="21"/>
              </w:rPr>
            </w:pPr>
            <w:r>
              <w:rPr>
                <w:rFonts w:hint="eastAsia" w:eastAsia="方正书宋_GBK"/>
                <w:sz w:val="21"/>
                <w:szCs w:val="21"/>
              </w:rPr>
              <w:t>15</w:t>
            </w:r>
          </w:p>
        </w:tc>
        <w:tc>
          <w:tcPr>
            <w:tcW w:w="4129" w:type="dxa"/>
            <w:vAlign w:val="center"/>
          </w:tcPr>
          <w:p w14:paraId="68E12B77">
            <w:pPr>
              <w:adjustRightInd w:val="0"/>
              <w:snapToGrid w:val="0"/>
              <w:rPr>
                <w:rFonts w:eastAsia="方正书宋_GBK"/>
                <w:sz w:val="21"/>
                <w:szCs w:val="21"/>
              </w:rPr>
            </w:pPr>
            <w:r>
              <w:rPr>
                <w:rFonts w:hint="eastAsia" w:eastAsia="方正书宋_GBK"/>
                <w:sz w:val="21"/>
                <w:szCs w:val="21"/>
              </w:rPr>
              <w:t>气象科普知识普及程度</w:t>
            </w:r>
          </w:p>
        </w:tc>
        <w:tc>
          <w:tcPr>
            <w:tcW w:w="1487" w:type="dxa"/>
            <w:vAlign w:val="center"/>
          </w:tcPr>
          <w:p w14:paraId="564FCB01">
            <w:pPr>
              <w:adjustRightInd w:val="0"/>
              <w:snapToGrid w:val="0"/>
              <w:jc w:val="center"/>
              <w:rPr>
                <w:rFonts w:eastAsia="方正书宋_GBK"/>
                <w:sz w:val="21"/>
                <w:szCs w:val="21"/>
              </w:rPr>
            </w:pPr>
            <w:r>
              <w:rPr>
                <w:rFonts w:hint="eastAsia" w:eastAsia="方正书宋_GBK"/>
                <w:sz w:val="21"/>
                <w:szCs w:val="21"/>
              </w:rPr>
              <w:t>≥80%</w:t>
            </w:r>
          </w:p>
        </w:tc>
        <w:tc>
          <w:tcPr>
            <w:tcW w:w="1487" w:type="dxa"/>
            <w:vAlign w:val="center"/>
          </w:tcPr>
          <w:p w14:paraId="062F38FE">
            <w:pPr>
              <w:adjustRightInd w:val="0"/>
              <w:snapToGrid w:val="0"/>
              <w:jc w:val="center"/>
              <w:rPr>
                <w:rFonts w:eastAsia="方正书宋_GBK"/>
                <w:sz w:val="21"/>
                <w:szCs w:val="21"/>
              </w:rPr>
            </w:pPr>
            <w:r>
              <w:rPr>
                <w:rFonts w:hint="eastAsia" w:eastAsia="方正书宋_GBK"/>
                <w:sz w:val="21"/>
                <w:szCs w:val="21"/>
              </w:rPr>
              <w:t>84%</w:t>
            </w:r>
          </w:p>
        </w:tc>
      </w:tr>
      <w:tr w14:paraId="3F0492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16" w:type="dxa"/>
            <w:vMerge w:val="continue"/>
            <w:vAlign w:val="center"/>
          </w:tcPr>
          <w:p w14:paraId="2A835D89">
            <w:pPr>
              <w:adjustRightInd w:val="0"/>
              <w:snapToGrid w:val="0"/>
              <w:rPr>
                <w:rFonts w:eastAsia="方正书宋_GBK"/>
                <w:sz w:val="21"/>
                <w:szCs w:val="21"/>
              </w:rPr>
            </w:pPr>
          </w:p>
        </w:tc>
        <w:tc>
          <w:tcPr>
            <w:tcW w:w="728" w:type="dxa"/>
            <w:vAlign w:val="center"/>
          </w:tcPr>
          <w:p w14:paraId="1241C825">
            <w:pPr>
              <w:adjustRightInd w:val="0"/>
              <w:snapToGrid w:val="0"/>
              <w:jc w:val="center"/>
              <w:rPr>
                <w:rFonts w:eastAsia="方正书宋_GBK"/>
                <w:sz w:val="21"/>
                <w:szCs w:val="21"/>
              </w:rPr>
            </w:pPr>
            <w:r>
              <w:rPr>
                <w:rFonts w:hint="eastAsia" w:eastAsia="方正书宋_GBK"/>
                <w:sz w:val="21"/>
                <w:szCs w:val="21"/>
              </w:rPr>
              <w:t>16</w:t>
            </w:r>
          </w:p>
        </w:tc>
        <w:tc>
          <w:tcPr>
            <w:tcW w:w="4129" w:type="dxa"/>
            <w:vAlign w:val="center"/>
          </w:tcPr>
          <w:p w14:paraId="149BD39F">
            <w:pPr>
              <w:adjustRightInd w:val="0"/>
              <w:snapToGrid w:val="0"/>
              <w:rPr>
                <w:rFonts w:eastAsia="方正书宋_GBK"/>
                <w:sz w:val="21"/>
                <w:szCs w:val="21"/>
              </w:rPr>
            </w:pPr>
            <w:r>
              <w:rPr>
                <w:rFonts w:hint="eastAsia" w:eastAsia="方正书宋_GBK"/>
                <w:sz w:val="21"/>
                <w:szCs w:val="21"/>
              </w:rPr>
              <w:t>气象服务满意度</w:t>
            </w:r>
          </w:p>
        </w:tc>
        <w:tc>
          <w:tcPr>
            <w:tcW w:w="1487" w:type="dxa"/>
            <w:vAlign w:val="center"/>
          </w:tcPr>
          <w:p w14:paraId="61E204E8">
            <w:pPr>
              <w:adjustRightInd w:val="0"/>
              <w:snapToGrid w:val="0"/>
              <w:jc w:val="center"/>
              <w:rPr>
                <w:rFonts w:eastAsia="方正书宋_GBK"/>
                <w:sz w:val="21"/>
                <w:szCs w:val="21"/>
              </w:rPr>
            </w:pPr>
            <w:r>
              <w:rPr>
                <w:rFonts w:hint="eastAsia" w:eastAsia="方正书宋_GBK"/>
                <w:sz w:val="21"/>
                <w:szCs w:val="21"/>
              </w:rPr>
              <w:t>≥88%</w:t>
            </w:r>
          </w:p>
        </w:tc>
        <w:tc>
          <w:tcPr>
            <w:tcW w:w="1487" w:type="dxa"/>
            <w:vAlign w:val="center"/>
          </w:tcPr>
          <w:p w14:paraId="52173200">
            <w:pPr>
              <w:adjustRightInd w:val="0"/>
              <w:snapToGrid w:val="0"/>
              <w:jc w:val="center"/>
              <w:rPr>
                <w:rFonts w:eastAsia="方正书宋_GBK"/>
                <w:sz w:val="21"/>
                <w:szCs w:val="21"/>
              </w:rPr>
            </w:pPr>
            <w:r>
              <w:rPr>
                <w:rFonts w:hint="eastAsia" w:eastAsia="方正书宋_GBK"/>
                <w:sz w:val="21"/>
                <w:szCs w:val="21"/>
              </w:rPr>
              <w:t>90%</w:t>
            </w:r>
          </w:p>
        </w:tc>
      </w:tr>
      <w:tr w14:paraId="1B1858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16" w:type="dxa"/>
            <w:vMerge w:val="restart"/>
            <w:vAlign w:val="center"/>
          </w:tcPr>
          <w:p w14:paraId="5A8050B5">
            <w:pPr>
              <w:adjustRightInd w:val="0"/>
              <w:snapToGrid w:val="0"/>
              <w:rPr>
                <w:rFonts w:eastAsia="方正书宋_GBK"/>
                <w:sz w:val="21"/>
                <w:szCs w:val="21"/>
              </w:rPr>
            </w:pPr>
            <w:r>
              <w:rPr>
                <w:rFonts w:hint="eastAsia" w:eastAsia="方正书宋_GBK"/>
                <w:sz w:val="21"/>
                <w:szCs w:val="21"/>
              </w:rPr>
              <w:t>气象科技</w:t>
            </w:r>
          </w:p>
        </w:tc>
        <w:tc>
          <w:tcPr>
            <w:tcW w:w="728" w:type="dxa"/>
            <w:vAlign w:val="center"/>
          </w:tcPr>
          <w:p w14:paraId="236A1317">
            <w:pPr>
              <w:adjustRightInd w:val="0"/>
              <w:snapToGrid w:val="0"/>
              <w:jc w:val="center"/>
              <w:rPr>
                <w:rFonts w:eastAsia="方正书宋_GBK"/>
                <w:sz w:val="21"/>
                <w:szCs w:val="21"/>
              </w:rPr>
            </w:pPr>
            <w:r>
              <w:rPr>
                <w:rFonts w:hint="eastAsia" w:eastAsia="方正书宋_GBK"/>
                <w:sz w:val="21"/>
                <w:szCs w:val="21"/>
              </w:rPr>
              <w:t>17</w:t>
            </w:r>
          </w:p>
        </w:tc>
        <w:tc>
          <w:tcPr>
            <w:tcW w:w="4129" w:type="dxa"/>
            <w:vAlign w:val="center"/>
          </w:tcPr>
          <w:p w14:paraId="2928B1CE">
            <w:pPr>
              <w:adjustRightInd w:val="0"/>
              <w:snapToGrid w:val="0"/>
              <w:rPr>
                <w:rFonts w:eastAsia="方正书宋_GBK"/>
                <w:sz w:val="21"/>
                <w:szCs w:val="21"/>
              </w:rPr>
            </w:pPr>
            <w:r>
              <w:rPr>
                <w:rFonts w:hint="eastAsia" w:eastAsia="方正书宋_GBK"/>
                <w:sz w:val="21"/>
                <w:szCs w:val="21"/>
              </w:rPr>
              <w:t>科技成果转化率与投入比重</w:t>
            </w:r>
          </w:p>
        </w:tc>
        <w:tc>
          <w:tcPr>
            <w:tcW w:w="1487" w:type="dxa"/>
            <w:vAlign w:val="center"/>
          </w:tcPr>
          <w:p w14:paraId="2526A1FB">
            <w:pPr>
              <w:adjustRightInd w:val="0"/>
              <w:snapToGrid w:val="0"/>
              <w:jc w:val="center"/>
              <w:rPr>
                <w:rFonts w:eastAsia="方正书宋_GBK"/>
                <w:sz w:val="21"/>
                <w:szCs w:val="21"/>
              </w:rPr>
            </w:pPr>
            <w:r>
              <w:rPr>
                <w:rFonts w:hint="eastAsia" w:eastAsia="方正书宋_GBK"/>
                <w:sz w:val="21"/>
                <w:szCs w:val="21"/>
              </w:rPr>
              <w:t>≥82%</w:t>
            </w:r>
          </w:p>
        </w:tc>
        <w:tc>
          <w:tcPr>
            <w:tcW w:w="1487" w:type="dxa"/>
            <w:vAlign w:val="center"/>
          </w:tcPr>
          <w:p w14:paraId="117CFAA5">
            <w:pPr>
              <w:adjustRightInd w:val="0"/>
              <w:snapToGrid w:val="0"/>
              <w:jc w:val="center"/>
              <w:rPr>
                <w:rFonts w:eastAsia="方正书宋_GBK"/>
                <w:sz w:val="21"/>
                <w:szCs w:val="21"/>
              </w:rPr>
            </w:pPr>
            <w:r>
              <w:rPr>
                <w:rFonts w:hint="eastAsia" w:eastAsia="方正书宋_GBK"/>
                <w:sz w:val="21"/>
                <w:szCs w:val="21"/>
              </w:rPr>
              <w:t>82%</w:t>
            </w:r>
          </w:p>
        </w:tc>
      </w:tr>
      <w:tr w14:paraId="125E21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16" w:type="dxa"/>
            <w:vMerge w:val="continue"/>
            <w:vAlign w:val="center"/>
          </w:tcPr>
          <w:p w14:paraId="208FD3BB">
            <w:pPr>
              <w:adjustRightInd w:val="0"/>
              <w:snapToGrid w:val="0"/>
              <w:rPr>
                <w:rFonts w:eastAsia="方正书宋_GBK"/>
                <w:sz w:val="21"/>
                <w:szCs w:val="21"/>
              </w:rPr>
            </w:pPr>
          </w:p>
        </w:tc>
        <w:tc>
          <w:tcPr>
            <w:tcW w:w="728" w:type="dxa"/>
            <w:vAlign w:val="center"/>
          </w:tcPr>
          <w:p w14:paraId="25E03BEA">
            <w:pPr>
              <w:adjustRightInd w:val="0"/>
              <w:snapToGrid w:val="0"/>
              <w:jc w:val="center"/>
              <w:rPr>
                <w:rFonts w:eastAsia="方正书宋_GBK"/>
                <w:sz w:val="21"/>
                <w:szCs w:val="21"/>
              </w:rPr>
            </w:pPr>
            <w:r>
              <w:rPr>
                <w:rFonts w:hint="eastAsia" w:eastAsia="方正书宋_GBK"/>
                <w:sz w:val="21"/>
                <w:szCs w:val="21"/>
              </w:rPr>
              <w:t>18</w:t>
            </w:r>
          </w:p>
        </w:tc>
        <w:tc>
          <w:tcPr>
            <w:tcW w:w="4129" w:type="dxa"/>
            <w:vAlign w:val="center"/>
          </w:tcPr>
          <w:p w14:paraId="77A1209F">
            <w:pPr>
              <w:adjustRightInd w:val="0"/>
              <w:snapToGrid w:val="0"/>
              <w:rPr>
                <w:rFonts w:eastAsia="方正书宋_GBK"/>
                <w:sz w:val="21"/>
                <w:szCs w:val="21"/>
              </w:rPr>
            </w:pPr>
            <w:r>
              <w:rPr>
                <w:rFonts w:hint="eastAsia" w:eastAsia="方正书宋_GBK"/>
                <w:sz w:val="21"/>
                <w:szCs w:val="21"/>
              </w:rPr>
              <w:t>中高级以上职称比例</w:t>
            </w:r>
          </w:p>
        </w:tc>
        <w:tc>
          <w:tcPr>
            <w:tcW w:w="1487" w:type="dxa"/>
            <w:vAlign w:val="center"/>
          </w:tcPr>
          <w:p w14:paraId="19BCE41B">
            <w:pPr>
              <w:adjustRightInd w:val="0"/>
              <w:snapToGrid w:val="0"/>
              <w:jc w:val="center"/>
              <w:rPr>
                <w:rFonts w:eastAsia="方正书宋_GBK"/>
                <w:sz w:val="21"/>
                <w:szCs w:val="21"/>
              </w:rPr>
            </w:pPr>
            <w:r>
              <w:rPr>
                <w:rFonts w:hint="eastAsia" w:eastAsia="方正书宋_GBK"/>
                <w:sz w:val="21"/>
                <w:szCs w:val="21"/>
              </w:rPr>
              <w:t>≥73%</w:t>
            </w:r>
          </w:p>
        </w:tc>
        <w:tc>
          <w:tcPr>
            <w:tcW w:w="1487" w:type="dxa"/>
            <w:vAlign w:val="center"/>
          </w:tcPr>
          <w:p w14:paraId="34E07B26">
            <w:pPr>
              <w:adjustRightInd w:val="0"/>
              <w:snapToGrid w:val="0"/>
              <w:jc w:val="center"/>
              <w:rPr>
                <w:rFonts w:eastAsia="方正书宋_GBK"/>
                <w:sz w:val="21"/>
                <w:szCs w:val="21"/>
              </w:rPr>
            </w:pPr>
            <w:r>
              <w:rPr>
                <w:rFonts w:hint="eastAsia" w:eastAsia="方正书宋_GBK"/>
                <w:sz w:val="21"/>
                <w:szCs w:val="21"/>
              </w:rPr>
              <w:t>79%</w:t>
            </w:r>
          </w:p>
        </w:tc>
      </w:tr>
      <w:tr w14:paraId="073D7F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16" w:type="dxa"/>
            <w:vMerge w:val="continue"/>
            <w:vAlign w:val="center"/>
          </w:tcPr>
          <w:p w14:paraId="582CB6FA">
            <w:pPr>
              <w:adjustRightInd w:val="0"/>
              <w:snapToGrid w:val="0"/>
              <w:rPr>
                <w:rFonts w:eastAsia="方正书宋_GBK"/>
                <w:sz w:val="21"/>
                <w:szCs w:val="21"/>
              </w:rPr>
            </w:pPr>
          </w:p>
        </w:tc>
        <w:tc>
          <w:tcPr>
            <w:tcW w:w="728" w:type="dxa"/>
            <w:vAlign w:val="center"/>
          </w:tcPr>
          <w:p w14:paraId="34B214CB">
            <w:pPr>
              <w:adjustRightInd w:val="0"/>
              <w:snapToGrid w:val="0"/>
              <w:jc w:val="center"/>
              <w:rPr>
                <w:rFonts w:eastAsia="方正书宋_GBK"/>
                <w:sz w:val="21"/>
                <w:szCs w:val="21"/>
              </w:rPr>
            </w:pPr>
            <w:r>
              <w:rPr>
                <w:rFonts w:hint="eastAsia" w:eastAsia="方正书宋_GBK"/>
                <w:sz w:val="21"/>
                <w:szCs w:val="21"/>
              </w:rPr>
              <w:t>19</w:t>
            </w:r>
          </w:p>
        </w:tc>
        <w:tc>
          <w:tcPr>
            <w:tcW w:w="4129" w:type="dxa"/>
            <w:vAlign w:val="center"/>
          </w:tcPr>
          <w:p w14:paraId="4C6D9B55">
            <w:pPr>
              <w:adjustRightInd w:val="0"/>
              <w:snapToGrid w:val="0"/>
              <w:rPr>
                <w:rFonts w:eastAsia="方正书宋_GBK"/>
                <w:sz w:val="21"/>
                <w:szCs w:val="21"/>
              </w:rPr>
            </w:pPr>
            <w:r>
              <w:rPr>
                <w:rFonts w:hint="eastAsia" w:eastAsia="方正书宋_GBK"/>
                <w:sz w:val="21"/>
                <w:szCs w:val="21"/>
              </w:rPr>
              <w:t>气象科技人力资源水平</w:t>
            </w:r>
          </w:p>
        </w:tc>
        <w:tc>
          <w:tcPr>
            <w:tcW w:w="1487" w:type="dxa"/>
            <w:vAlign w:val="center"/>
          </w:tcPr>
          <w:p w14:paraId="3BD4419B">
            <w:pPr>
              <w:adjustRightInd w:val="0"/>
              <w:snapToGrid w:val="0"/>
              <w:jc w:val="center"/>
              <w:rPr>
                <w:rFonts w:eastAsia="方正书宋_GBK"/>
                <w:sz w:val="21"/>
                <w:szCs w:val="21"/>
              </w:rPr>
            </w:pPr>
            <w:r>
              <w:rPr>
                <w:rFonts w:hint="eastAsia" w:eastAsia="方正书宋_GBK"/>
                <w:sz w:val="21"/>
                <w:szCs w:val="21"/>
              </w:rPr>
              <w:t>≥85%</w:t>
            </w:r>
          </w:p>
        </w:tc>
        <w:tc>
          <w:tcPr>
            <w:tcW w:w="1487" w:type="dxa"/>
            <w:vAlign w:val="center"/>
          </w:tcPr>
          <w:p w14:paraId="55066624">
            <w:pPr>
              <w:adjustRightInd w:val="0"/>
              <w:snapToGrid w:val="0"/>
              <w:jc w:val="center"/>
              <w:rPr>
                <w:rFonts w:eastAsia="方正书宋_GBK"/>
                <w:sz w:val="21"/>
                <w:szCs w:val="21"/>
              </w:rPr>
            </w:pPr>
            <w:r>
              <w:rPr>
                <w:rFonts w:hint="eastAsia" w:eastAsia="方正书宋_GBK"/>
                <w:sz w:val="21"/>
                <w:szCs w:val="21"/>
              </w:rPr>
              <w:t>85%</w:t>
            </w:r>
          </w:p>
        </w:tc>
      </w:tr>
      <w:tr w14:paraId="688949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16" w:type="dxa"/>
            <w:vMerge w:val="restart"/>
            <w:vAlign w:val="center"/>
          </w:tcPr>
          <w:p w14:paraId="606F1731">
            <w:pPr>
              <w:adjustRightInd w:val="0"/>
              <w:snapToGrid w:val="0"/>
              <w:rPr>
                <w:rFonts w:eastAsia="方正书宋_GBK"/>
                <w:sz w:val="21"/>
                <w:szCs w:val="21"/>
              </w:rPr>
            </w:pPr>
            <w:r>
              <w:rPr>
                <w:rFonts w:hint="eastAsia" w:eastAsia="方正书宋_GBK"/>
                <w:sz w:val="21"/>
                <w:szCs w:val="21"/>
              </w:rPr>
              <w:t>气象管理</w:t>
            </w:r>
          </w:p>
        </w:tc>
        <w:tc>
          <w:tcPr>
            <w:tcW w:w="728" w:type="dxa"/>
            <w:vAlign w:val="center"/>
          </w:tcPr>
          <w:p w14:paraId="7C6A1F9B">
            <w:pPr>
              <w:adjustRightInd w:val="0"/>
              <w:snapToGrid w:val="0"/>
              <w:jc w:val="center"/>
              <w:rPr>
                <w:rFonts w:eastAsia="方正书宋_GBK"/>
                <w:sz w:val="21"/>
                <w:szCs w:val="21"/>
              </w:rPr>
            </w:pPr>
            <w:r>
              <w:rPr>
                <w:rFonts w:hint="eastAsia" w:eastAsia="方正书宋_GBK"/>
                <w:sz w:val="21"/>
                <w:szCs w:val="21"/>
              </w:rPr>
              <w:t>20</w:t>
            </w:r>
          </w:p>
        </w:tc>
        <w:tc>
          <w:tcPr>
            <w:tcW w:w="4129" w:type="dxa"/>
            <w:vAlign w:val="center"/>
          </w:tcPr>
          <w:p w14:paraId="56554C0B">
            <w:pPr>
              <w:adjustRightInd w:val="0"/>
              <w:snapToGrid w:val="0"/>
              <w:rPr>
                <w:rFonts w:eastAsia="方正书宋_GBK"/>
                <w:sz w:val="21"/>
                <w:szCs w:val="21"/>
              </w:rPr>
            </w:pPr>
            <w:r>
              <w:rPr>
                <w:rFonts w:hint="eastAsia" w:eastAsia="方正书宋_GBK"/>
                <w:sz w:val="21"/>
                <w:szCs w:val="21"/>
              </w:rPr>
              <w:t>经费纳入财政预算</w:t>
            </w:r>
          </w:p>
        </w:tc>
        <w:tc>
          <w:tcPr>
            <w:tcW w:w="1487" w:type="dxa"/>
            <w:vAlign w:val="center"/>
          </w:tcPr>
          <w:p w14:paraId="20E09838">
            <w:pPr>
              <w:adjustRightInd w:val="0"/>
              <w:snapToGrid w:val="0"/>
              <w:jc w:val="center"/>
              <w:rPr>
                <w:rFonts w:eastAsia="方正书宋_GBK"/>
                <w:sz w:val="21"/>
                <w:szCs w:val="21"/>
              </w:rPr>
            </w:pPr>
            <w:r>
              <w:rPr>
                <w:rFonts w:hint="eastAsia" w:eastAsia="方正书宋_GBK"/>
                <w:sz w:val="21"/>
                <w:szCs w:val="21"/>
              </w:rPr>
              <w:t>100%</w:t>
            </w:r>
          </w:p>
        </w:tc>
        <w:tc>
          <w:tcPr>
            <w:tcW w:w="1487" w:type="dxa"/>
            <w:vAlign w:val="center"/>
          </w:tcPr>
          <w:p w14:paraId="49FB78F5">
            <w:pPr>
              <w:adjustRightInd w:val="0"/>
              <w:snapToGrid w:val="0"/>
              <w:jc w:val="center"/>
              <w:rPr>
                <w:rFonts w:eastAsia="方正书宋_GBK"/>
                <w:sz w:val="21"/>
                <w:szCs w:val="21"/>
              </w:rPr>
            </w:pPr>
            <w:r>
              <w:rPr>
                <w:rFonts w:hint="eastAsia" w:eastAsia="方正书宋_GBK"/>
                <w:sz w:val="21"/>
                <w:szCs w:val="21"/>
              </w:rPr>
              <w:t>100%</w:t>
            </w:r>
          </w:p>
        </w:tc>
      </w:tr>
      <w:tr w14:paraId="78D495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16" w:type="dxa"/>
            <w:vMerge w:val="continue"/>
            <w:vAlign w:val="center"/>
          </w:tcPr>
          <w:p w14:paraId="3DFC51B7">
            <w:pPr>
              <w:adjustRightInd w:val="0"/>
              <w:snapToGrid w:val="0"/>
              <w:rPr>
                <w:rFonts w:eastAsia="方正书宋_GBK"/>
                <w:sz w:val="21"/>
                <w:szCs w:val="21"/>
              </w:rPr>
            </w:pPr>
          </w:p>
        </w:tc>
        <w:tc>
          <w:tcPr>
            <w:tcW w:w="728" w:type="dxa"/>
            <w:vAlign w:val="center"/>
          </w:tcPr>
          <w:p w14:paraId="0F7F10D4">
            <w:pPr>
              <w:adjustRightInd w:val="0"/>
              <w:snapToGrid w:val="0"/>
              <w:jc w:val="center"/>
              <w:rPr>
                <w:rFonts w:eastAsia="方正书宋_GBK"/>
                <w:sz w:val="21"/>
                <w:szCs w:val="21"/>
              </w:rPr>
            </w:pPr>
            <w:r>
              <w:rPr>
                <w:rFonts w:hint="eastAsia" w:eastAsia="方正书宋_GBK"/>
                <w:sz w:val="21"/>
                <w:szCs w:val="21"/>
              </w:rPr>
              <w:t>21</w:t>
            </w:r>
          </w:p>
        </w:tc>
        <w:tc>
          <w:tcPr>
            <w:tcW w:w="4129" w:type="dxa"/>
            <w:vAlign w:val="center"/>
          </w:tcPr>
          <w:p w14:paraId="15C09645">
            <w:pPr>
              <w:adjustRightInd w:val="0"/>
              <w:snapToGrid w:val="0"/>
              <w:rPr>
                <w:rFonts w:eastAsia="方正书宋_GBK"/>
                <w:sz w:val="21"/>
                <w:szCs w:val="21"/>
              </w:rPr>
            </w:pPr>
            <w:r>
              <w:rPr>
                <w:rFonts w:hint="eastAsia" w:eastAsia="方正书宋_GBK"/>
                <w:sz w:val="21"/>
                <w:szCs w:val="21"/>
              </w:rPr>
              <w:t>防雷减灾体制改革到位率</w:t>
            </w:r>
          </w:p>
        </w:tc>
        <w:tc>
          <w:tcPr>
            <w:tcW w:w="1487" w:type="dxa"/>
            <w:vAlign w:val="center"/>
          </w:tcPr>
          <w:p w14:paraId="37C17B45">
            <w:pPr>
              <w:adjustRightInd w:val="0"/>
              <w:snapToGrid w:val="0"/>
              <w:jc w:val="center"/>
              <w:rPr>
                <w:rFonts w:eastAsia="方正书宋_GBK"/>
                <w:sz w:val="21"/>
                <w:szCs w:val="21"/>
              </w:rPr>
            </w:pPr>
            <w:r>
              <w:rPr>
                <w:rFonts w:hint="eastAsia" w:eastAsia="方正书宋_GBK"/>
                <w:sz w:val="21"/>
                <w:szCs w:val="21"/>
              </w:rPr>
              <w:t>≥95%</w:t>
            </w:r>
          </w:p>
        </w:tc>
        <w:tc>
          <w:tcPr>
            <w:tcW w:w="1487" w:type="dxa"/>
            <w:vAlign w:val="center"/>
          </w:tcPr>
          <w:p w14:paraId="6F0891C7">
            <w:pPr>
              <w:adjustRightInd w:val="0"/>
              <w:snapToGrid w:val="0"/>
              <w:jc w:val="center"/>
              <w:rPr>
                <w:rFonts w:eastAsia="方正书宋_GBK"/>
                <w:sz w:val="21"/>
                <w:szCs w:val="21"/>
              </w:rPr>
            </w:pPr>
            <w:r>
              <w:rPr>
                <w:rFonts w:hint="eastAsia" w:eastAsia="方正书宋_GBK"/>
                <w:sz w:val="21"/>
                <w:szCs w:val="21"/>
              </w:rPr>
              <w:t>100%</w:t>
            </w:r>
          </w:p>
        </w:tc>
      </w:tr>
      <w:tr w14:paraId="67831E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16" w:type="dxa"/>
            <w:vMerge w:val="continue"/>
            <w:vAlign w:val="center"/>
          </w:tcPr>
          <w:p w14:paraId="07C0834B">
            <w:pPr>
              <w:adjustRightInd w:val="0"/>
              <w:snapToGrid w:val="0"/>
              <w:rPr>
                <w:rFonts w:eastAsia="方正书宋_GBK"/>
                <w:sz w:val="21"/>
                <w:szCs w:val="21"/>
              </w:rPr>
            </w:pPr>
          </w:p>
        </w:tc>
        <w:tc>
          <w:tcPr>
            <w:tcW w:w="728" w:type="dxa"/>
            <w:vAlign w:val="center"/>
          </w:tcPr>
          <w:p w14:paraId="56B3EF21">
            <w:pPr>
              <w:adjustRightInd w:val="0"/>
              <w:snapToGrid w:val="0"/>
              <w:jc w:val="center"/>
              <w:rPr>
                <w:rFonts w:eastAsia="方正书宋_GBK"/>
                <w:sz w:val="21"/>
                <w:szCs w:val="21"/>
              </w:rPr>
            </w:pPr>
            <w:r>
              <w:rPr>
                <w:rFonts w:hint="eastAsia" w:eastAsia="方正书宋_GBK"/>
                <w:sz w:val="21"/>
                <w:szCs w:val="21"/>
              </w:rPr>
              <w:t>22</w:t>
            </w:r>
          </w:p>
        </w:tc>
        <w:tc>
          <w:tcPr>
            <w:tcW w:w="4129" w:type="dxa"/>
            <w:vAlign w:val="center"/>
          </w:tcPr>
          <w:p w14:paraId="4CA4CEFB">
            <w:pPr>
              <w:adjustRightInd w:val="0"/>
              <w:snapToGrid w:val="0"/>
              <w:rPr>
                <w:rFonts w:eastAsia="方正书宋_GBK"/>
                <w:sz w:val="21"/>
                <w:szCs w:val="21"/>
              </w:rPr>
            </w:pPr>
            <w:r>
              <w:rPr>
                <w:rFonts w:hint="eastAsia" w:eastAsia="方正书宋_GBK"/>
                <w:sz w:val="21"/>
                <w:szCs w:val="21"/>
              </w:rPr>
              <w:t>全国文明单位创建个数</w:t>
            </w:r>
          </w:p>
        </w:tc>
        <w:tc>
          <w:tcPr>
            <w:tcW w:w="1487" w:type="dxa"/>
            <w:vAlign w:val="center"/>
          </w:tcPr>
          <w:p w14:paraId="19B89BCF">
            <w:pPr>
              <w:adjustRightInd w:val="0"/>
              <w:snapToGrid w:val="0"/>
              <w:jc w:val="center"/>
              <w:rPr>
                <w:rFonts w:eastAsia="方正书宋_GBK"/>
                <w:sz w:val="21"/>
                <w:szCs w:val="21"/>
              </w:rPr>
            </w:pPr>
            <w:r>
              <w:rPr>
                <w:rFonts w:hint="eastAsia" w:eastAsia="方正书宋_GBK"/>
                <w:sz w:val="21"/>
                <w:szCs w:val="21"/>
              </w:rPr>
              <w:t>≥1个</w:t>
            </w:r>
          </w:p>
        </w:tc>
        <w:tc>
          <w:tcPr>
            <w:tcW w:w="1487" w:type="dxa"/>
            <w:vAlign w:val="center"/>
          </w:tcPr>
          <w:p w14:paraId="22CF6908">
            <w:pPr>
              <w:adjustRightInd w:val="0"/>
              <w:snapToGrid w:val="0"/>
              <w:jc w:val="center"/>
              <w:rPr>
                <w:rFonts w:eastAsia="方正书宋_GBK"/>
                <w:sz w:val="21"/>
                <w:szCs w:val="21"/>
              </w:rPr>
            </w:pPr>
            <w:r>
              <w:rPr>
                <w:rFonts w:hint="eastAsia" w:eastAsia="方正书宋_GBK"/>
                <w:sz w:val="21"/>
                <w:szCs w:val="21"/>
              </w:rPr>
              <w:t>1个</w:t>
            </w:r>
          </w:p>
        </w:tc>
      </w:tr>
      <w:tr w14:paraId="272275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16" w:type="dxa"/>
            <w:vMerge w:val="continue"/>
            <w:vAlign w:val="center"/>
          </w:tcPr>
          <w:p w14:paraId="0AB04593">
            <w:pPr>
              <w:adjustRightInd w:val="0"/>
              <w:snapToGrid w:val="0"/>
              <w:rPr>
                <w:rFonts w:eastAsia="方正书宋_GBK"/>
                <w:sz w:val="21"/>
                <w:szCs w:val="21"/>
              </w:rPr>
            </w:pPr>
          </w:p>
        </w:tc>
        <w:tc>
          <w:tcPr>
            <w:tcW w:w="728" w:type="dxa"/>
            <w:vAlign w:val="center"/>
          </w:tcPr>
          <w:p w14:paraId="6FB96B2D">
            <w:pPr>
              <w:adjustRightInd w:val="0"/>
              <w:snapToGrid w:val="0"/>
              <w:jc w:val="center"/>
              <w:rPr>
                <w:rFonts w:eastAsia="方正书宋_GBK"/>
                <w:sz w:val="21"/>
                <w:szCs w:val="21"/>
              </w:rPr>
            </w:pPr>
            <w:r>
              <w:rPr>
                <w:rFonts w:hint="eastAsia" w:eastAsia="方正书宋_GBK"/>
                <w:sz w:val="21"/>
                <w:szCs w:val="21"/>
              </w:rPr>
              <w:t>23</w:t>
            </w:r>
          </w:p>
        </w:tc>
        <w:tc>
          <w:tcPr>
            <w:tcW w:w="4129" w:type="dxa"/>
            <w:vAlign w:val="center"/>
          </w:tcPr>
          <w:p w14:paraId="4C548DC9">
            <w:pPr>
              <w:adjustRightInd w:val="0"/>
              <w:snapToGrid w:val="0"/>
              <w:rPr>
                <w:rFonts w:eastAsia="方正书宋_GBK"/>
                <w:sz w:val="21"/>
                <w:szCs w:val="21"/>
              </w:rPr>
            </w:pPr>
            <w:r>
              <w:rPr>
                <w:rFonts w:hint="eastAsia" w:eastAsia="方正书宋_GBK"/>
                <w:sz w:val="21"/>
                <w:szCs w:val="21"/>
              </w:rPr>
              <w:t>基本现代化综合指标</w:t>
            </w:r>
          </w:p>
        </w:tc>
        <w:tc>
          <w:tcPr>
            <w:tcW w:w="1487" w:type="dxa"/>
            <w:vAlign w:val="center"/>
          </w:tcPr>
          <w:p w14:paraId="3CEDB8CE">
            <w:pPr>
              <w:adjustRightInd w:val="0"/>
              <w:snapToGrid w:val="0"/>
              <w:jc w:val="center"/>
              <w:rPr>
                <w:rFonts w:eastAsia="方正书宋_GBK"/>
                <w:sz w:val="21"/>
                <w:szCs w:val="21"/>
              </w:rPr>
            </w:pPr>
            <w:r>
              <w:rPr>
                <w:rFonts w:hint="eastAsia" w:eastAsia="方正书宋_GBK"/>
                <w:sz w:val="21"/>
                <w:szCs w:val="21"/>
              </w:rPr>
              <w:t>≥95%</w:t>
            </w:r>
          </w:p>
        </w:tc>
        <w:tc>
          <w:tcPr>
            <w:tcW w:w="1487" w:type="dxa"/>
            <w:vAlign w:val="center"/>
          </w:tcPr>
          <w:p w14:paraId="517F33E9">
            <w:pPr>
              <w:adjustRightInd w:val="0"/>
              <w:snapToGrid w:val="0"/>
              <w:jc w:val="center"/>
              <w:rPr>
                <w:rFonts w:eastAsia="方正书宋_GBK"/>
                <w:sz w:val="21"/>
                <w:szCs w:val="21"/>
              </w:rPr>
            </w:pPr>
            <w:r>
              <w:rPr>
                <w:rFonts w:hint="eastAsia" w:eastAsia="方正书宋_GBK"/>
                <w:sz w:val="21"/>
                <w:szCs w:val="21"/>
              </w:rPr>
              <w:t>95%</w:t>
            </w:r>
          </w:p>
        </w:tc>
      </w:tr>
      <w:tr w14:paraId="1F846C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16" w:type="dxa"/>
            <w:vMerge w:val="continue"/>
            <w:vAlign w:val="center"/>
          </w:tcPr>
          <w:p w14:paraId="769327E8">
            <w:pPr>
              <w:adjustRightInd w:val="0"/>
              <w:snapToGrid w:val="0"/>
              <w:rPr>
                <w:rFonts w:eastAsia="方正书宋_GBK"/>
                <w:sz w:val="21"/>
                <w:szCs w:val="21"/>
              </w:rPr>
            </w:pPr>
          </w:p>
        </w:tc>
        <w:tc>
          <w:tcPr>
            <w:tcW w:w="728" w:type="dxa"/>
            <w:vAlign w:val="center"/>
          </w:tcPr>
          <w:p w14:paraId="2DB8FF22">
            <w:pPr>
              <w:adjustRightInd w:val="0"/>
              <w:snapToGrid w:val="0"/>
              <w:jc w:val="center"/>
              <w:rPr>
                <w:rFonts w:eastAsia="方正书宋_GBK"/>
                <w:sz w:val="21"/>
                <w:szCs w:val="21"/>
              </w:rPr>
            </w:pPr>
            <w:r>
              <w:rPr>
                <w:rFonts w:hint="eastAsia" w:eastAsia="方正书宋_GBK"/>
                <w:sz w:val="21"/>
                <w:szCs w:val="21"/>
              </w:rPr>
              <w:t>24</w:t>
            </w:r>
          </w:p>
        </w:tc>
        <w:tc>
          <w:tcPr>
            <w:tcW w:w="4129" w:type="dxa"/>
            <w:vAlign w:val="center"/>
          </w:tcPr>
          <w:p w14:paraId="4D9C7DC1">
            <w:pPr>
              <w:adjustRightInd w:val="0"/>
              <w:snapToGrid w:val="0"/>
              <w:rPr>
                <w:rFonts w:eastAsia="方正书宋_GBK"/>
                <w:sz w:val="21"/>
                <w:szCs w:val="21"/>
              </w:rPr>
            </w:pPr>
            <w:r>
              <w:rPr>
                <w:rFonts w:hint="eastAsia" w:eastAsia="方正书宋_GBK"/>
                <w:sz w:val="21"/>
                <w:szCs w:val="21"/>
              </w:rPr>
              <w:t>基本现代化各单项指标实现程度</w:t>
            </w:r>
          </w:p>
        </w:tc>
        <w:tc>
          <w:tcPr>
            <w:tcW w:w="1487" w:type="dxa"/>
            <w:vAlign w:val="center"/>
          </w:tcPr>
          <w:p w14:paraId="74113708">
            <w:pPr>
              <w:adjustRightInd w:val="0"/>
              <w:snapToGrid w:val="0"/>
              <w:jc w:val="center"/>
              <w:rPr>
                <w:rFonts w:eastAsia="方正书宋_GBK"/>
                <w:sz w:val="21"/>
                <w:szCs w:val="21"/>
              </w:rPr>
            </w:pPr>
            <w:r>
              <w:rPr>
                <w:rFonts w:hint="eastAsia" w:eastAsia="方正书宋_GBK"/>
                <w:sz w:val="21"/>
                <w:szCs w:val="21"/>
              </w:rPr>
              <w:t>≥90%</w:t>
            </w:r>
          </w:p>
        </w:tc>
        <w:tc>
          <w:tcPr>
            <w:tcW w:w="1487" w:type="dxa"/>
            <w:vAlign w:val="center"/>
          </w:tcPr>
          <w:p w14:paraId="70D4C575">
            <w:pPr>
              <w:adjustRightInd w:val="0"/>
              <w:snapToGrid w:val="0"/>
              <w:jc w:val="center"/>
              <w:rPr>
                <w:rFonts w:eastAsia="方正书宋_GBK"/>
                <w:sz w:val="21"/>
                <w:szCs w:val="21"/>
              </w:rPr>
            </w:pPr>
            <w:r>
              <w:rPr>
                <w:rFonts w:hint="eastAsia" w:eastAsia="方正书宋_GBK"/>
                <w:sz w:val="21"/>
                <w:szCs w:val="21"/>
              </w:rPr>
              <w:t>90%</w:t>
            </w:r>
          </w:p>
        </w:tc>
      </w:tr>
    </w:tbl>
    <w:p w14:paraId="768C0327">
      <w:pPr>
        <w:adjustRightInd w:val="0"/>
        <w:snapToGrid w:val="0"/>
        <w:spacing w:line="300" w:lineRule="auto"/>
        <w:ind w:firstLine="640" w:firstLineChars="200"/>
        <w:rPr>
          <w:rFonts w:eastAsia="方正仿宋_GBK"/>
          <w:sz w:val="32"/>
          <w:szCs w:val="32"/>
        </w:rPr>
      </w:pPr>
    </w:p>
    <w:p w14:paraId="5022F84B">
      <w:pPr>
        <w:adjustRightInd w:val="0"/>
        <w:snapToGrid w:val="0"/>
        <w:spacing w:line="300" w:lineRule="auto"/>
        <w:ind w:firstLine="640" w:firstLineChars="200"/>
        <w:rPr>
          <w:rFonts w:eastAsia="方正仿宋_GBK"/>
          <w:sz w:val="32"/>
          <w:szCs w:val="32"/>
        </w:rPr>
      </w:pPr>
      <w:r>
        <w:rPr>
          <w:rFonts w:hint="eastAsia" w:eastAsia="方正仿宋_GBK"/>
          <w:sz w:val="32"/>
          <w:szCs w:val="32"/>
        </w:rPr>
        <w:t>（二）需要解决的问题</w:t>
      </w:r>
    </w:p>
    <w:p w14:paraId="5D03DADC">
      <w:pPr>
        <w:adjustRightInd w:val="0"/>
        <w:snapToGrid w:val="0"/>
        <w:spacing w:line="300" w:lineRule="auto"/>
        <w:ind w:firstLine="640" w:firstLineChars="200"/>
        <w:rPr>
          <w:rFonts w:eastAsia="方正仿宋_GBK"/>
          <w:sz w:val="32"/>
          <w:szCs w:val="32"/>
        </w:rPr>
      </w:pPr>
      <w:r>
        <w:rPr>
          <w:rFonts w:hint="eastAsia" w:eastAsia="方正仿宋_GBK"/>
          <w:sz w:val="32"/>
          <w:szCs w:val="32"/>
        </w:rPr>
        <w:t>“十三五”时期，南京气象事业发展取得了一些成绩，但随着经济社会的进一步发展、新技术的不断进步、人民对美好生活的需要不断增长，南京气象事业高质量发展仍存在一些需要解决的问题，主要表现在：气象监测精密度不足，天地空一体化协同观测能力需要加强，气象观测站网布局需要优化，新型探测数据应用需要加强，满足行业气象服务的气象观测能力存在短板；气象预报精准度仍需提高，智能网格预报需要加强，高影响天气的落区、量级预报的时空分辨率、准确率、提前量需要提高；气象服务供给有短板，与人民美好生活和新南京建设要求有差距，融入生态文明、乡村振兴、南京都市圈发展等重大战略和重点工作还不够充分，针对性、个性化、智能化公共气象服务能力需要提高；气象科技创新引领支撑力不强，开放合作的气象科技创新体制机制还不够健全，关键技术研究需要突破，南京气象科教人才优势发挥不够；气象改革、科学管理与治理体系和治理能力现代化的要求还有差距，气象专业技术服务市场化改革仍需探索，气象行政权力运行监督需要进一步加强。</w:t>
      </w:r>
    </w:p>
    <w:p w14:paraId="1FC403E5">
      <w:pPr>
        <w:adjustRightInd w:val="0"/>
        <w:snapToGrid w:val="0"/>
        <w:spacing w:line="300" w:lineRule="auto"/>
        <w:ind w:firstLine="640" w:firstLineChars="200"/>
        <w:rPr>
          <w:rFonts w:eastAsia="方正仿宋_GBK"/>
          <w:sz w:val="32"/>
          <w:szCs w:val="32"/>
        </w:rPr>
      </w:pPr>
      <w:r>
        <w:rPr>
          <w:rFonts w:hint="eastAsia" w:eastAsia="方正仿宋_GBK"/>
          <w:sz w:val="32"/>
          <w:szCs w:val="32"/>
        </w:rPr>
        <w:t>（三）“十四五”面临形势</w:t>
      </w:r>
    </w:p>
    <w:p w14:paraId="3145BCB3">
      <w:pPr>
        <w:adjustRightInd w:val="0"/>
        <w:snapToGrid w:val="0"/>
        <w:spacing w:line="300" w:lineRule="auto"/>
        <w:ind w:firstLine="640" w:firstLineChars="200"/>
        <w:rPr>
          <w:rFonts w:eastAsia="方正仿宋_GBK"/>
          <w:sz w:val="32"/>
          <w:szCs w:val="32"/>
        </w:rPr>
      </w:pPr>
      <w:r>
        <w:rPr>
          <w:rFonts w:hint="eastAsia" w:eastAsia="方正仿宋_GBK"/>
          <w:sz w:val="32"/>
          <w:szCs w:val="32"/>
        </w:rPr>
        <w:t>“十四五”时期是开启全面建设社会主义现代化国家新征程、向第二个百年奋斗目标进军的第一个五年，也是全面推进气象强国建设的第一个五年。南京作为我国东部地区重要中心城市、长三角特大城市，正处在全面转入高质量发展轨道、全面开启现代化建设的关键阶段。机遇和挑战并存，南京气象必须坚持以习近平总书记关于气象工作重要指示精神为根本遵循，坚定不移贯彻新发展理念，加速气象事业高质量发展，提高气象服务“创新名城、美丽古都”建设的能力和水平，助力推动南京发挥创新先发优势，在新一轮城市发展中争先进位。</w:t>
      </w:r>
    </w:p>
    <w:p w14:paraId="55804646">
      <w:pPr>
        <w:adjustRightInd w:val="0"/>
        <w:snapToGrid w:val="0"/>
        <w:spacing w:line="300" w:lineRule="auto"/>
        <w:ind w:firstLine="640" w:firstLineChars="200"/>
        <w:rPr>
          <w:rFonts w:eastAsia="方正仿宋_GBK"/>
          <w:sz w:val="32"/>
          <w:szCs w:val="32"/>
        </w:rPr>
      </w:pPr>
      <w:r>
        <w:rPr>
          <w:rFonts w:hint="eastAsia" w:eastAsia="方正仿宋_GBK"/>
          <w:sz w:val="32"/>
          <w:szCs w:val="32"/>
        </w:rPr>
        <w:t>1．应对极端天气气候，保障城市安全发展面临新挑战</w:t>
      </w:r>
    </w:p>
    <w:p w14:paraId="5543DCBC">
      <w:pPr>
        <w:adjustRightInd w:val="0"/>
        <w:snapToGrid w:val="0"/>
        <w:spacing w:line="300" w:lineRule="auto"/>
        <w:ind w:firstLine="640" w:firstLineChars="200"/>
        <w:rPr>
          <w:rFonts w:eastAsia="方正仿宋_GBK"/>
          <w:sz w:val="32"/>
          <w:szCs w:val="32"/>
        </w:rPr>
      </w:pPr>
      <w:r>
        <w:rPr>
          <w:rFonts w:hint="eastAsia" w:eastAsia="方正仿宋_GBK"/>
          <w:sz w:val="32"/>
          <w:szCs w:val="32"/>
        </w:rPr>
        <w:t>在全球气候变暖的大背景下，大气环流变化异常，极端天气气候事件多发频发，天气气候预报预测的难度增大。随着南京经济社会持续发展，气象灾害造成的单位面积受损率增加，潜在风险和威胁加大。气象工作在应对极端天气气候、保障城市安全发展面临新挑战，需要加强气象精密监测，加强气象灾害及其影响精准预报，开展各行各业的精细服务，切实筑牢气象防灾减灾第一道防线。</w:t>
      </w:r>
    </w:p>
    <w:p w14:paraId="3D7012E4">
      <w:pPr>
        <w:adjustRightInd w:val="0"/>
        <w:snapToGrid w:val="0"/>
        <w:spacing w:line="300" w:lineRule="auto"/>
        <w:ind w:firstLine="640" w:firstLineChars="200"/>
        <w:rPr>
          <w:rFonts w:eastAsia="方正仿宋_GBK"/>
          <w:sz w:val="32"/>
          <w:szCs w:val="32"/>
        </w:rPr>
      </w:pPr>
      <w:r>
        <w:rPr>
          <w:rFonts w:hint="eastAsia" w:eastAsia="方正仿宋_GBK"/>
          <w:sz w:val="32"/>
          <w:szCs w:val="32"/>
        </w:rPr>
        <w:t>2．服务美丽古都建设，满足美好生活向往面临新需求</w:t>
      </w:r>
    </w:p>
    <w:p w14:paraId="163ABCCA">
      <w:pPr>
        <w:adjustRightInd w:val="0"/>
        <w:snapToGrid w:val="0"/>
        <w:spacing w:line="300" w:lineRule="auto"/>
        <w:ind w:firstLine="640" w:firstLineChars="200"/>
        <w:rPr>
          <w:rFonts w:eastAsia="方正仿宋_GBK"/>
          <w:sz w:val="32"/>
          <w:szCs w:val="32"/>
        </w:rPr>
      </w:pPr>
      <w:r>
        <w:rPr>
          <w:rFonts w:hint="eastAsia" w:eastAsia="方正仿宋_GBK"/>
          <w:sz w:val="32"/>
          <w:szCs w:val="32"/>
        </w:rPr>
        <w:t>深入践行绿水青山就是金山银山理论，充分彰显南京美丽古都神韵内涵，广大市民期望更加普惠精细更加智慧精准的气象服务，期望进一步增强经济社会高质量发展气象保障能力。气象工作必须从实际需求入手，坚持以人民为中心，提高服务保障城市安全发展能力，在人民生活品质提升、乡村振兴、生态文明建设、市域治理现代化等工作中发挥作用，在新起点上为美丽古都建设提供更加优质的气象服务。</w:t>
      </w:r>
    </w:p>
    <w:p w14:paraId="62999324">
      <w:pPr>
        <w:adjustRightInd w:val="0"/>
        <w:snapToGrid w:val="0"/>
        <w:spacing w:line="300" w:lineRule="auto"/>
        <w:ind w:firstLine="640" w:firstLineChars="200"/>
        <w:rPr>
          <w:rFonts w:eastAsia="方正仿宋_GBK"/>
          <w:sz w:val="32"/>
          <w:szCs w:val="32"/>
        </w:rPr>
      </w:pPr>
      <w:r>
        <w:rPr>
          <w:rFonts w:hint="eastAsia" w:eastAsia="方正仿宋_GBK"/>
          <w:sz w:val="32"/>
          <w:szCs w:val="32"/>
        </w:rPr>
        <w:t>3．紧跟气象科技发展，提升核心业务能力面临新挑战</w:t>
      </w:r>
    </w:p>
    <w:p w14:paraId="15C46E8F">
      <w:pPr>
        <w:adjustRightInd w:val="0"/>
        <w:snapToGrid w:val="0"/>
        <w:spacing w:line="300" w:lineRule="auto"/>
        <w:ind w:firstLine="640" w:firstLineChars="200"/>
        <w:rPr>
          <w:rFonts w:eastAsia="方正仿宋_GBK"/>
          <w:sz w:val="32"/>
          <w:szCs w:val="32"/>
        </w:rPr>
      </w:pPr>
      <w:r>
        <w:rPr>
          <w:rFonts w:hint="eastAsia" w:eastAsia="方正仿宋_GBK"/>
          <w:sz w:val="32"/>
          <w:szCs w:val="32"/>
        </w:rPr>
        <w:t>气象高质量必须具备强大的业务能力和科技内涵，在新一轮科技革命和产业变革深入发展、数字赋能社会浪潮下，气象科技快速发展，大数据、云计算、人工智能等新一代信息技术在气象领域应用更加广泛。必须瞄准气象前沿科技，充分发挥地域优势，深化科技创新协同协作，加强气象监测与预报服务关键技术研发应用，以高水平的科技创新驱动提升气象核心业务能力，实现南京气象高质量发展。</w:t>
      </w:r>
    </w:p>
    <w:p w14:paraId="1C9DECFF">
      <w:pPr>
        <w:adjustRightInd w:val="0"/>
        <w:snapToGrid w:val="0"/>
        <w:spacing w:line="300" w:lineRule="auto"/>
        <w:ind w:firstLine="640" w:firstLineChars="200"/>
        <w:rPr>
          <w:rFonts w:eastAsia="方正仿宋_GBK"/>
          <w:sz w:val="32"/>
          <w:szCs w:val="32"/>
        </w:rPr>
      </w:pPr>
      <w:r>
        <w:rPr>
          <w:rFonts w:hint="eastAsia" w:eastAsia="方正仿宋_GBK"/>
          <w:sz w:val="32"/>
          <w:szCs w:val="32"/>
        </w:rPr>
        <w:t>4．开启现代化建设新征程，推动高质量发展面临新要求</w:t>
      </w:r>
    </w:p>
    <w:p w14:paraId="0F114FFE">
      <w:pPr>
        <w:adjustRightInd w:val="0"/>
        <w:snapToGrid w:val="0"/>
        <w:spacing w:line="300" w:lineRule="auto"/>
        <w:ind w:firstLine="640" w:firstLineChars="200"/>
        <w:rPr>
          <w:rFonts w:eastAsia="方正仿宋_GBK"/>
          <w:sz w:val="32"/>
          <w:szCs w:val="32"/>
        </w:rPr>
      </w:pPr>
      <w:r>
        <w:rPr>
          <w:rFonts w:hint="eastAsia" w:eastAsia="方正仿宋_GBK"/>
          <w:sz w:val="32"/>
          <w:szCs w:val="32"/>
        </w:rPr>
        <w:t>在社会主义现代化建设新征程中，南京坚持现代化追求，奋力建设“强富美高”现代化新南京。气象现代化是国家现代化的重要标志之一，推进南京气象现代化建设，为气象强国和南京现代化建设作出新贡献，南京气象必须心怀“国之大者”，把握新要求、抓住新机遇、迎接新挑战，落实市政府推进气象事业高质量发展实施意见，以更高水平的气象现代化、更高质量的发展服务国家现代化、服务南京“强富美高”建设走在前列，体现省会城市气象担当。</w:t>
      </w:r>
    </w:p>
    <w:p w14:paraId="1EFA1F11">
      <w:pPr>
        <w:adjustRightInd w:val="0"/>
        <w:snapToGrid w:val="0"/>
        <w:spacing w:line="300" w:lineRule="auto"/>
        <w:ind w:firstLine="640" w:firstLineChars="200"/>
        <w:rPr>
          <w:rFonts w:eastAsia="方正黑体_GBK"/>
          <w:sz w:val="32"/>
          <w:szCs w:val="32"/>
        </w:rPr>
      </w:pPr>
      <w:r>
        <w:rPr>
          <w:rFonts w:hint="eastAsia" w:eastAsia="方正黑体_GBK"/>
          <w:sz w:val="32"/>
          <w:szCs w:val="32"/>
        </w:rPr>
        <w:t>二、指导思想、基本原则和主要发展目标</w:t>
      </w:r>
    </w:p>
    <w:p w14:paraId="013109E8">
      <w:pPr>
        <w:adjustRightInd w:val="0"/>
        <w:snapToGrid w:val="0"/>
        <w:spacing w:line="300" w:lineRule="auto"/>
        <w:ind w:firstLine="640" w:firstLineChars="200"/>
        <w:rPr>
          <w:rFonts w:eastAsia="方正仿宋_GBK"/>
          <w:sz w:val="32"/>
          <w:szCs w:val="32"/>
        </w:rPr>
      </w:pPr>
      <w:r>
        <w:rPr>
          <w:rFonts w:hint="eastAsia" w:eastAsia="方正仿宋_GBK"/>
          <w:sz w:val="32"/>
          <w:szCs w:val="32"/>
        </w:rPr>
        <w:t>（一）指导思想</w:t>
      </w:r>
    </w:p>
    <w:p w14:paraId="76790E81">
      <w:pPr>
        <w:adjustRightInd w:val="0"/>
        <w:snapToGrid w:val="0"/>
        <w:spacing w:line="300" w:lineRule="auto"/>
        <w:ind w:firstLine="640" w:firstLineChars="200"/>
        <w:rPr>
          <w:rFonts w:eastAsia="方正仿宋_GBK"/>
          <w:sz w:val="32"/>
          <w:szCs w:val="32"/>
        </w:rPr>
      </w:pPr>
      <w:r>
        <w:rPr>
          <w:rFonts w:hint="eastAsia" w:eastAsia="方正仿宋_GBK"/>
          <w:sz w:val="32"/>
          <w:szCs w:val="32"/>
        </w:rPr>
        <w:t>坚持以习近平新时代中国特色社会主义思想为指导，深入贯彻落实习近平总书记关于气象工作的重要指示和对江苏工作的重要指示精神，牢固树立以人民为中心的发展思想，坚定不移贯彻新发展理念，以加快建成更高水平气象现代化为目标，以推动气象事业高质量发展为主题，以提高气象监测预报服务能力为主线，以改革创新为根本动力，以满足人民日益增长的美好生活需要为根本目的，统筹发展和安全，紧扣监测精密、预报精准、服务精细，落实高质量发展走在前列要求，不断对标找差、创新实干，加快科技创新，充分发挥气象防灾减灾第一道防线作用，实现气象服务与城市安全发展深度融合，提高气象服务保障生命安全、生产发展、生活富裕、生态良好水平，为南京建设高质量发展的全球创新城市、高能级辐射的国家中心城市、高品质生活的幸福宜居城市、高效能治理的安全韧性城市提供坚实气象保障。</w:t>
      </w:r>
    </w:p>
    <w:p w14:paraId="69DC4A60">
      <w:pPr>
        <w:adjustRightInd w:val="0"/>
        <w:snapToGrid w:val="0"/>
        <w:spacing w:line="300" w:lineRule="auto"/>
        <w:ind w:firstLine="640" w:firstLineChars="200"/>
        <w:rPr>
          <w:rFonts w:eastAsia="方正仿宋_GBK"/>
          <w:sz w:val="32"/>
          <w:szCs w:val="32"/>
        </w:rPr>
      </w:pPr>
      <w:r>
        <w:rPr>
          <w:rFonts w:hint="eastAsia" w:eastAsia="方正仿宋_GBK"/>
          <w:sz w:val="32"/>
          <w:szCs w:val="32"/>
        </w:rPr>
        <w:t>（二）基本原则</w:t>
      </w:r>
    </w:p>
    <w:p w14:paraId="60D3E960">
      <w:pPr>
        <w:adjustRightInd w:val="0"/>
        <w:snapToGrid w:val="0"/>
        <w:spacing w:line="300" w:lineRule="auto"/>
        <w:ind w:firstLine="640" w:firstLineChars="200"/>
        <w:rPr>
          <w:rFonts w:eastAsia="方正仿宋_GBK"/>
          <w:sz w:val="32"/>
          <w:szCs w:val="32"/>
        </w:rPr>
      </w:pPr>
      <w:r>
        <w:rPr>
          <w:rFonts w:hint="eastAsia" w:eastAsia="方正仿宋_GBK"/>
          <w:sz w:val="32"/>
          <w:szCs w:val="32"/>
        </w:rPr>
        <w:t>“十四五”时期，南京气象工作须坚持以下原则：</w:t>
      </w:r>
    </w:p>
    <w:p w14:paraId="68244C0D">
      <w:pPr>
        <w:adjustRightInd w:val="0"/>
        <w:snapToGrid w:val="0"/>
        <w:spacing w:line="300" w:lineRule="auto"/>
        <w:ind w:firstLine="640" w:firstLineChars="200"/>
        <w:rPr>
          <w:rFonts w:eastAsia="方正仿宋_GBK"/>
          <w:sz w:val="32"/>
          <w:szCs w:val="32"/>
        </w:rPr>
      </w:pPr>
      <w:r>
        <w:rPr>
          <w:rFonts w:hint="eastAsia" w:eastAsia="方正仿宋_GBK"/>
          <w:sz w:val="32"/>
          <w:szCs w:val="32"/>
        </w:rPr>
        <w:t>——坚持党的全面领导。深入贯彻落实习近平总书记关于气象工作的重要指示和对江苏工作的重要指示精神，增强“四个意识”、坚定“四个自信”、坚决做到“两个维护”，牢牢把握服务国家服务人民的根本方向，不断提高贯彻新发展理念、服务新发展格局、推动高质量发展的能力和水平。</w:t>
      </w:r>
    </w:p>
    <w:p w14:paraId="7660D333">
      <w:pPr>
        <w:adjustRightInd w:val="0"/>
        <w:snapToGrid w:val="0"/>
        <w:spacing w:line="300" w:lineRule="auto"/>
        <w:ind w:firstLine="640" w:firstLineChars="200"/>
        <w:rPr>
          <w:rFonts w:eastAsia="方正仿宋_GBK"/>
          <w:sz w:val="32"/>
          <w:szCs w:val="32"/>
        </w:rPr>
      </w:pPr>
      <w:r>
        <w:rPr>
          <w:rFonts w:hint="eastAsia" w:eastAsia="方正仿宋_GBK"/>
          <w:sz w:val="32"/>
          <w:szCs w:val="32"/>
        </w:rPr>
        <w:t>——坚持新发展理念。把新发展理念贯穿南京气象事业高质量发展全过程和各领域，切实转变发展方式，更加突出科技创新核心地位，紧跟气象科技发展前沿，顺应信息化、智能化趋势，开放协作融合，加强气象科技创新，努力提升科技对气象发展贡献度和支撑力。</w:t>
      </w:r>
    </w:p>
    <w:p w14:paraId="7F84F6C1">
      <w:pPr>
        <w:adjustRightInd w:val="0"/>
        <w:snapToGrid w:val="0"/>
        <w:spacing w:line="300" w:lineRule="auto"/>
        <w:ind w:firstLine="640" w:firstLineChars="200"/>
        <w:rPr>
          <w:rFonts w:eastAsia="方正仿宋_GBK"/>
          <w:sz w:val="32"/>
          <w:szCs w:val="32"/>
        </w:rPr>
      </w:pPr>
      <w:r>
        <w:rPr>
          <w:rFonts w:hint="eastAsia" w:eastAsia="方正仿宋_GBK"/>
          <w:sz w:val="32"/>
          <w:szCs w:val="32"/>
        </w:rPr>
        <w:t>——坚持需求牵引。坚持以人民为中心的</w:t>
      </w:r>
      <w:r>
        <w:rPr>
          <w:rFonts w:hint="eastAsia" w:eastAsia="方正仿宋_GBK"/>
          <w:sz w:val="32"/>
          <w:szCs w:val="32"/>
          <w:lang w:val="en-US" w:eastAsia="zh-CN"/>
        </w:rPr>
        <w:t>发展</w:t>
      </w:r>
      <w:bookmarkStart w:id="0" w:name="_GoBack"/>
      <w:bookmarkEnd w:id="0"/>
      <w:r>
        <w:rPr>
          <w:rFonts w:hint="eastAsia" w:eastAsia="方正仿宋_GBK"/>
          <w:sz w:val="32"/>
          <w:szCs w:val="32"/>
        </w:rPr>
        <w:t>思想，面向民生、面向生产、面向决策，以服务需求为导向，以服务国家和南京重大发展战略、保障改善民生、气象防灾减灾救灾、生态文明建设为重点，提升基本气象公共服务均等化水平，提高气象服务国家发展战略和南京经济社会发展能力。</w:t>
      </w:r>
    </w:p>
    <w:p w14:paraId="26A1B132">
      <w:pPr>
        <w:adjustRightInd w:val="0"/>
        <w:snapToGrid w:val="0"/>
        <w:spacing w:line="300" w:lineRule="auto"/>
        <w:ind w:firstLine="640" w:firstLineChars="200"/>
        <w:rPr>
          <w:rFonts w:eastAsia="方正仿宋_GBK"/>
          <w:sz w:val="32"/>
          <w:szCs w:val="32"/>
        </w:rPr>
      </w:pPr>
      <w:r>
        <w:rPr>
          <w:rFonts w:hint="eastAsia" w:eastAsia="方正仿宋_GBK"/>
          <w:sz w:val="32"/>
          <w:szCs w:val="32"/>
        </w:rPr>
        <w:t>——坚持系统观念。坚持目标导向，问题导向，效益导向，结果导向，统筹兼顾发展质量、规模速度、效益安全，前瞻性思考、战略性布局、整体性推进，充分发挥气象在“避害”与“趋利”、防灾减灾与应急救灾、市域治理与区域协调发展中的作用，在内引外联、统筹资源、集智聚力中深度融合。</w:t>
      </w:r>
    </w:p>
    <w:p w14:paraId="2F959E50">
      <w:pPr>
        <w:adjustRightInd w:val="0"/>
        <w:snapToGrid w:val="0"/>
        <w:spacing w:line="300" w:lineRule="auto"/>
        <w:ind w:firstLine="640" w:firstLineChars="200"/>
        <w:rPr>
          <w:rFonts w:eastAsia="方正仿宋_GBK"/>
          <w:sz w:val="32"/>
          <w:szCs w:val="32"/>
        </w:rPr>
      </w:pPr>
      <w:r>
        <w:rPr>
          <w:rFonts w:hint="eastAsia" w:eastAsia="方正仿宋_GBK"/>
          <w:sz w:val="32"/>
          <w:szCs w:val="32"/>
        </w:rPr>
        <w:t>——坚持高点定位。遵循气象事业发展规律，长远谋划，适度超前，保持战略定力，坚持不懈推进气象现代化建设，积极探索符合我国气象现代化内涵特征，具有南京特点的现代化建设新路子，扛起省会城市气象工作走在前列的担当。</w:t>
      </w:r>
    </w:p>
    <w:p w14:paraId="66BDEE47">
      <w:pPr>
        <w:adjustRightInd w:val="0"/>
        <w:snapToGrid w:val="0"/>
        <w:spacing w:line="300" w:lineRule="auto"/>
        <w:ind w:firstLine="640" w:firstLineChars="200"/>
        <w:rPr>
          <w:rFonts w:eastAsia="方正仿宋_GBK"/>
          <w:sz w:val="32"/>
          <w:szCs w:val="32"/>
        </w:rPr>
      </w:pPr>
      <w:r>
        <w:rPr>
          <w:rFonts w:hint="eastAsia" w:eastAsia="方正仿宋_GBK"/>
          <w:sz w:val="32"/>
          <w:szCs w:val="32"/>
        </w:rPr>
        <w:t>（三）主要发展目标</w:t>
      </w:r>
    </w:p>
    <w:p w14:paraId="695DAE0E">
      <w:pPr>
        <w:adjustRightInd w:val="0"/>
        <w:snapToGrid w:val="0"/>
        <w:spacing w:line="300" w:lineRule="auto"/>
        <w:ind w:firstLine="640" w:firstLineChars="200"/>
        <w:rPr>
          <w:rFonts w:eastAsia="方正仿宋_GBK"/>
          <w:sz w:val="32"/>
          <w:szCs w:val="32"/>
        </w:rPr>
      </w:pPr>
      <w:r>
        <w:rPr>
          <w:rFonts w:hint="eastAsia" w:eastAsia="方正仿宋_GBK"/>
          <w:sz w:val="32"/>
          <w:szCs w:val="32"/>
        </w:rPr>
        <w:t>到2025年，基本建成与国家、长三角区域、省气象发展战略相协调，适应需求、系统完备、开放融合、保障有力，具有南京特色的高效普惠的公共气象服务、综合先进的现代气象业务和科学高效的气象治理体系，形成气象高质量协调发展新格局。气象监测精密、预报精准、服务精细程度显著提高，灾害性天气监测率稳定在98%以上，灾害性天气预警准确率比“十三五”平均水平提升5%，公众气象服务满意度保持在90%以上，气象监测、预报预警、公共服务、科技贡献、人才支撑和政策保障水平等在全省保持示范领先、在副省级省会城市保持前列。</w:t>
      </w:r>
    </w:p>
    <w:p w14:paraId="6D514A2A">
      <w:pPr>
        <w:adjustRightInd w:val="0"/>
        <w:snapToGrid w:val="0"/>
        <w:spacing w:line="300" w:lineRule="auto"/>
        <w:ind w:firstLine="640" w:firstLineChars="200"/>
        <w:rPr>
          <w:rFonts w:eastAsia="方正仿宋_GBK"/>
          <w:sz w:val="32"/>
          <w:szCs w:val="32"/>
        </w:rPr>
      </w:pPr>
      <w:r>
        <w:rPr>
          <w:rFonts w:hint="eastAsia" w:eastAsia="方正仿宋_GBK"/>
          <w:sz w:val="32"/>
          <w:szCs w:val="32"/>
        </w:rPr>
        <w:t>到2035年，气象保障发展战略、服务国计民生能力和水平显著增强，公共气象服务效益和满意度显著提高，全天候协同气象监测更加精密，无缝隙的智能网格预报更加精准，专业化气象服务更加精细，气象科技创新基础更加深厚，气象治理能力明显提升，基本实现气象现代化，在全省气象事业高质量发展中的示范作用更加显著，继续走在副省级省会城市前列。</w:t>
      </w:r>
    </w:p>
    <w:p w14:paraId="08B0063F">
      <w:pPr>
        <w:adjustRightInd w:val="0"/>
        <w:snapToGrid w:val="0"/>
        <w:spacing w:line="300" w:lineRule="auto"/>
        <w:ind w:firstLine="640" w:firstLineChars="200"/>
        <w:rPr>
          <w:rFonts w:eastAsia="方正仿宋_GBK"/>
          <w:sz w:val="32"/>
          <w:szCs w:val="32"/>
        </w:rPr>
      </w:pPr>
      <w:r>
        <w:rPr>
          <w:rFonts w:hint="eastAsia" w:eastAsia="方正仿宋_GBK"/>
          <w:sz w:val="32"/>
          <w:szCs w:val="32"/>
        </w:rPr>
        <w:t>按照2035年远景目标及2025年发展目标，“十四五”气象发展目标体现在：</w:t>
      </w:r>
    </w:p>
    <w:p w14:paraId="5B60573A">
      <w:pPr>
        <w:adjustRightInd w:val="0"/>
        <w:snapToGrid w:val="0"/>
        <w:spacing w:line="300" w:lineRule="auto"/>
        <w:ind w:firstLine="640" w:firstLineChars="200"/>
        <w:rPr>
          <w:rFonts w:eastAsia="方正仿宋_GBK"/>
          <w:sz w:val="32"/>
          <w:szCs w:val="32"/>
        </w:rPr>
      </w:pPr>
      <w:r>
        <w:rPr>
          <w:rFonts w:hint="eastAsia" w:eastAsia="方正仿宋_GBK"/>
          <w:sz w:val="32"/>
          <w:szCs w:val="32"/>
        </w:rPr>
        <w:t>气象监测精密程度显著提升。气象监测业务自动化继续提高，南京特大城市垂直气象监测系统进一步完善，面向服务需求的城市地面气象观测体系更加完善，大气天基、空基、地基相结合的立体三维监测能力显著提升，灾害性天气监测率稳定在98%以上。新型气象观测数据质量控制水平显著提升，建立多源观测数据质控和融合加工业务，观测基础数据对预报服务的支撑力明显增强。气象通讯网络继续优化，信息网络与观测设备监控率在95%以上，网络信息安全水平提升。</w:t>
      </w:r>
    </w:p>
    <w:p w14:paraId="19941106">
      <w:pPr>
        <w:adjustRightInd w:val="0"/>
        <w:snapToGrid w:val="0"/>
        <w:spacing w:line="300" w:lineRule="auto"/>
        <w:ind w:firstLine="640" w:firstLineChars="200"/>
        <w:rPr>
          <w:rFonts w:eastAsia="方正仿宋_GBK"/>
          <w:sz w:val="32"/>
          <w:szCs w:val="32"/>
        </w:rPr>
      </w:pPr>
      <w:r>
        <w:rPr>
          <w:rFonts w:hint="eastAsia" w:eastAsia="方正仿宋_GBK"/>
          <w:sz w:val="32"/>
          <w:szCs w:val="32"/>
        </w:rPr>
        <w:t>气象预报精准水平显著提高。基于人工智能等新技术的网格化预报进一步完善，气象预报时空分辨率稳步提高，气候趋势实现月尺度滚动预测，中短期天气预报可用时效达10天，7天内天气常规要素预报产品精细到社区（村）级。气象预报准确率稳步提高，灾害性天气预警准确率提高5%以上。气象预警产品可用性、防御措施针对性稳步提高，基于影响的气象灾害预报和风险预警业务体系基本建立，灾害性天气分域预警时效提前到45分钟以上。</w:t>
      </w:r>
    </w:p>
    <w:p w14:paraId="7A0213A8">
      <w:pPr>
        <w:adjustRightInd w:val="0"/>
        <w:snapToGrid w:val="0"/>
        <w:spacing w:line="300" w:lineRule="auto"/>
        <w:ind w:firstLine="640" w:firstLineChars="200"/>
        <w:rPr>
          <w:rFonts w:eastAsia="方正仿宋_GBK"/>
          <w:sz w:val="32"/>
          <w:szCs w:val="32"/>
        </w:rPr>
      </w:pPr>
      <w:r>
        <w:rPr>
          <w:rFonts w:hint="eastAsia" w:eastAsia="方正仿宋_GBK"/>
          <w:sz w:val="32"/>
          <w:szCs w:val="32"/>
        </w:rPr>
        <w:t>气象服务精细供给更加完善。公共气象服务多元供给格局逐步形成，市域基于位置的普惠精细的随行气象服务系统建立，气象服务覆盖基层社区和城市网格化社会治理网格单元。气象防灾减灾工作机制内涵更加完备，气象灾害风险预警信息基本实现公众全覆盖，保障城市安全运行的专项气象服务系统更加健全，气象大数据信息共享更加广泛。公民气象科学素养明显增强，气象灾害应急避险与自救互救知识城乡普及。公共气象服务和气象防灾减灾效益显著提高，公众气象服务满意度保持在90%以上。</w:t>
      </w:r>
    </w:p>
    <w:p w14:paraId="54591D65">
      <w:pPr>
        <w:adjustRightInd w:val="0"/>
        <w:snapToGrid w:val="0"/>
        <w:spacing w:line="300" w:lineRule="auto"/>
        <w:ind w:firstLine="640" w:firstLineChars="200"/>
        <w:rPr>
          <w:rFonts w:eastAsia="方正仿宋_GBK"/>
          <w:sz w:val="32"/>
          <w:szCs w:val="32"/>
        </w:rPr>
      </w:pPr>
      <w:r>
        <w:rPr>
          <w:rFonts w:hint="eastAsia" w:eastAsia="方正仿宋_GBK"/>
          <w:sz w:val="32"/>
          <w:szCs w:val="32"/>
        </w:rPr>
        <w:t>气象科技创新体系更加完备。激发双创主体活力，在宁高校、科研院所气象教育及科技资源优势充分应用，研究型气象业务进一步完善，科技成果转化应用水平提升，气象预报服务技术研发与应用取得重要进展，科技创新对气象现代化的贡献度显著提高。气象人才素质稳步提升，人员结构更加合理，入选国家、省级气象高层次人才队伍人数增加，进入省级气象创新团队人数增加，中高级以上职称比例增长5个百分点，气象科技实力在副省级省会城市处于领先水平。</w:t>
      </w:r>
    </w:p>
    <w:p w14:paraId="4CB82D97">
      <w:pPr>
        <w:adjustRightInd w:val="0"/>
        <w:snapToGrid w:val="0"/>
        <w:spacing w:line="300" w:lineRule="auto"/>
        <w:ind w:firstLine="640" w:firstLineChars="200"/>
        <w:rPr>
          <w:rFonts w:eastAsia="方正仿宋_GBK"/>
          <w:sz w:val="32"/>
          <w:szCs w:val="32"/>
        </w:rPr>
      </w:pPr>
      <w:r>
        <w:rPr>
          <w:rFonts w:hint="eastAsia" w:eastAsia="方正仿宋_GBK"/>
          <w:sz w:val="32"/>
          <w:szCs w:val="32"/>
        </w:rPr>
        <w:t>气象依法治理体系更加健全。融入市域社会治理共同体建设，在未设气象主管机构的区建立气象工作机制建，城市气象灾害风险管理和社会管理能力提升，基层气象防灾减灾救灾能力进一步提高。气象重点领域改革取得新突破，气象法律法规及标准规范全面落实，基层基础工作进一步夯实。气象依法行政，法制机构和队伍建设继续加强，“互联网+监管”水平显著提高，关联领域协同监管机制更加流畅，市域气象治理体系和治理能力现代化水平稳步提高。</w:t>
      </w:r>
    </w:p>
    <w:p w14:paraId="5AB2AC34">
      <w:pPr>
        <w:adjustRightInd w:val="0"/>
        <w:snapToGrid w:val="0"/>
        <w:spacing w:line="300" w:lineRule="auto"/>
        <w:jc w:val="center"/>
        <w:rPr>
          <w:rFonts w:eastAsia="方正黑体_GBK"/>
          <w:sz w:val="32"/>
          <w:szCs w:val="32"/>
        </w:rPr>
      </w:pPr>
      <w:r>
        <w:rPr>
          <w:rFonts w:hint="eastAsia" w:eastAsia="方正黑体_GBK"/>
          <w:sz w:val="32"/>
          <w:szCs w:val="32"/>
        </w:rPr>
        <w:t>表二：“十四五”气象发展主要指标</w:t>
      </w:r>
    </w:p>
    <w:tbl>
      <w:tblPr>
        <w:tblStyle w:val="42"/>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798"/>
        <w:gridCol w:w="4754"/>
        <w:gridCol w:w="2237"/>
      </w:tblGrid>
      <w:tr w14:paraId="160E9D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158" w:type="dxa"/>
            <w:vAlign w:val="center"/>
          </w:tcPr>
          <w:p w14:paraId="453E4383">
            <w:pPr>
              <w:adjustRightInd w:val="0"/>
              <w:snapToGrid w:val="0"/>
              <w:jc w:val="center"/>
              <w:rPr>
                <w:rFonts w:eastAsia="方正黑体_GBK"/>
                <w:sz w:val="21"/>
                <w:szCs w:val="21"/>
              </w:rPr>
            </w:pPr>
            <w:r>
              <w:rPr>
                <w:rFonts w:hint="eastAsia" w:eastAsia="方正黑体_GBK"/>
                <w:sz w:val="21"/>
                <w:szCs w:val="21"/>
              </w:rPr>
              <w:t>分类</w:t>
            </w:r>
          </w:p>
        </w:tc>
        <w:tc>
          <w:tcPr>
            <w:tcW w:w="798" w:type="dxa"/>
            <w:vAlign w:val="center"/>
          </w:tcPr>
          <w:p w14:paraId="1F60BDD8">
            <w:pPr>
              <w:adjustRightInd w:val="0"/>
              <w:snapToGrid w:val="0"/>
              <w:jc w:val="center"/>
              <w:rPr>
                <w:rFonts w:eastAsia="方正黑体_GBK"/>
                <w:sz w:val="21"/>
                <w:szCs w:val="21"/>
              </w:rPr>
            </w:pPr>
            <w:r>
              <w:rPr>
                <w:rFonts w:hint="eastAsia" w:eastAsia="方正黑体_GBK"/>
                <w:sz w:val="21"/>
                <w:szCs w:val="21"/>
              </w:rPr>
              <w:t>序号</w:t>
            </w:r>
          </w:p>
        </w:tc>
        <w:tc>
          <w:tcPr>
            <w:tcW w:w="4754" w:type="dxa"/>
            <w:vAlign w:val="center"/>
          </w:tcPr>
          <w:p w14:paraId="66358723">
            <w:pPr>
              <w:adjustRightInd w:val="0"/>
              <w:snapToGrid w:val="0"/>
              <w:jc w:val="center"/>
              <w:rPr>
                <w:rFonts w:eastAsia="方正黑体_GBK"/>
                <w:sz w:val="21"/>
                <w:szCs w:val="21"/>
              </w:rPr>
            </w:pPr>
            <w:r>
              <w:rPr>
                <w:rFonts w:hint="eastAsia" w:eastAsia="方正黑体_GBK"/>
                <w:sz w:val="21"/>
                <w:szCs w:val="21"/>
              </w:rPr>
              <w:t>指  标</w:t>
            </w:r>
          </w:p>
        </w:tc>
        <w:tc>
          <w:tcPr>
            <w:tcW w:w="2237" w:type="dxa"/>
            <w:vAlign w:val="center"/>
          </w:tcPr>
          <w:p w14:paraId="2FB33CF1">
            <w:pPr>
              <w:adjustRightInd w:val="0"/>
              <w:snapToGrid w:val="0"/>
              <w:jc w:val="center"/>
              <w:rPr>
                <w:rFonts w:eastAsia="方正黑体_GBK"/>
                <w:sz w:val="21"/>
                <w:szCs w:val="21"/>
              </w:rPr>
            </w:pPr>
            <w:r>
              <w:rPr>
                <w:rFonts w:hint="eastAsia" w:eastAsia="方正黑体_GBK"/>
                <w:sz w:val="21"/>
                <w:szCs w:val="21"/>
              </w:rPr>
              <w:t>目标值</w:t>
            </w:r>
          </w:p>
        </w:tc>
      </w:tr>
      <w:tr w14:paraId="7577CF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8" w:type="dxa"/>
            <w:vMerge w:val="restart"/>
            <w:vAlign w:val="center"/>
          </w:tcPr>
          <w:p w14:paraId="0A0EEB77">
            <w:pPr>
              <w:adjustRightInd w:val="0"/>
              <w:snapToGrid w:val="0"/>
              <w:rPr>
                <w:rFonts w:eastAsia="方正书宋_GBK"/>
                <w:sz w:val="21"/>
                <w:szCs w:val="21"/>
              </w:rPr>
            </w:pPr>
            <w:r>
              <w:rPr>
                <w:rFonts w:hint="eastAsia" w:eastAsia="方正书宋_GBK"/>
                <w:sz w:val="21"/>
                <w:szCs w:val="21"/>
              </w:rPr>
              <w:t>气象观测</w:t>
            </w:r>
          </w:p>
        </w:tc>
        <w:tc>
          <w:tcPr>
            <w:tcW w:w="798" w:type="dxa"/>
            <w:vAlign w:val="center"/>
          </w:tcPr>
          <w:p w14:paraId="3AD641D2">
            <w:pPr>
              <w:adjustRightInd w:val="0"/>
              <w:snapToGrid w:val="0"/>
              <w:jc w:val="center"/>
              <w:rPr>
                <w:rFonts w:eastAsia="方正书宋_GBK"/>
                <w:sz w:val="21"/>
                <w:szCs w:val="21"/>
              </w:rPr>
            </w:pPr>
            <w:r>
              <w:rPr>
                <w:rFonts w:hint="eastAsia" w:eastAsia="方正书宋_GBK"/>
                <w:sz w:val="21"/>
                <w:szCs w:val="21"/>
              </w:rPr>
              <w:t>1</w:t>
            </w:r>
          </w:p>
        </w:tc>
        <w:tc>
          <w:tcPr>
            <w:tcW w:w="4754" w:type="dxa"/>
            <w:vAlign w:val="center"/>
          </w:tcPr>
          <w:p w14:paraId="0F5179AD">
            <w:pPr>
              <w:adjustRightInd w:val="0"/>
              <w:snapToGrid w:val="0"/>
              <w:rPr>
                <w:rFonts w:eastAsia="方正书宋_GBK"/>
                <w:sz w:val="21"/>
                <w:szCs w:val="21"/>
              </w:rPr>
            </w:pPr>
            <w:r>
              <w:rPr>
                <w:rFonts w:hint="eastAsia" w:eastAsia="方正书宋_GBK"/>
                <w:sz w:val="21"/>
                <w:szCs w:val="21"/>
              </w:rPr>
              <w:t>气象观测网建成率</w:t>
            </w:r>
          </w:p>
        </w:tc>
        <w:tc>
          <w:tcPr>
            <w:tcW w:w="2237" w:type="dxa"/>
            <w:vAlign w:val="center"/>
          </w:tcPr>
          <w:p w14:paraId="388971AB">
            <w:pPr>
              <w:adjustRightInd w:val="0"/>
              <w:snapToGrid w:val="0"/>
              <w:jc w:val="center"/>
              <w:rPr>
                <w:rFonts w:eastAsia="方正书宋_GBK"/>
                <w:sz w:val="21"/>
                <w:szCs w:val="21"/>
              </w:rPr>
            </w:pPr>
            <w:r>
              <w:rPr>
                <w:rFonts w:hint="eastAsia" w:eastAsia="方正书宋_GBK"/>
                <w:sz w:val="21"/>
                <w:szCs w:val="21"/>
              </w:rPr>
              <w:t>≥95%</w:t>
            </w:r>
          </w:p>
        </w:tc>
      </w:tr>
      <w:tr w14:paraId="65634B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8" w:type="dxa"/>
            <w:vMerge w:val="continue"/>
            <w:vAlign w:val="center"/>
          </w:tcPr>
          <w:p w14:paraId="7B16CC30">
            <w:pPr>
              <w:adjustRightInd w:val="0"/>
              <w:snapToGrid w:val="0"/>
              <w:rPr>
                <w:rFonts w:eastAsia="方正书宋_GBK"/>
                <w:sz w:val="21"/>
                <w:szCs w:val="21"/>
              </w:rPr>
            </w:pPr>
          </w:p>
        </w:tc>
        <w:tc>
          <w:tcPr>
            <w:tcW w:w="798" w:type="dxa"/>
            <w:vAlign w:val="center"/>
          </w:tcPr>
          <w:p w14:paraId="6666CB1C">
            <w:pPr>
              <w:adjustRightInd w:val="0"/>
              <w:snapToGrid w:val="0"/>
              <w:jc w:val="center"/>
              <w:rPr>
                <w:rFonts w:eastAsia="方正书宋_GBK"/>
                <w:sz w:val="21"/>
                <w:szCs w:val="21"/>
              </w:rPr>
            </w:pPr>
            <w:r>
              <w:rPr>
                <w:rFonts w:hint="eastAsia" w:eastAsia="方正书宋_GBK"/>
                <w:sz w:val="21"/>
                <w:szCs w:val="21"/>
              </w:rPr>
              <w:t>2</w:t>
            </w:r>
          </w:p>
        </w:tc>
        <w:tc>
          <w:tcPr>
            <w:tcW w:w="4754" w:type="dxa"/>
            <w:vAlign w:val="center"/>
          </w:tcPr>
          <w:p w14:paraId="62F2ECBC">
            <w:pPr>
              <w:adjustRightInd w:val="0"/>
              <w:snapToGrid w:val="0"/>
              <w:rPr>
                <w:rFonts w:eastAsia="方正书宋_GBK"/>
                <w:sz w:val="21"/>
                <w:szCs w:val="21"/>
              </w:rPr>
            </w:pPr>
            <w:r>
              <w:rPr>
                <w:rFonts w:hint="eastAsia" w:eastAsia="方正书宋_GBK"/>
                <w:sz w:val="21"/>
                <w:szCs w:val="21"/>
              </w:rPr>
              <w:t>气象观测自动化率</w:t>
            </w:r>
          </w:p>
        </w:tc>
        <w:tc>
          <w:tcPr>
            <w:tcW w:w="2237" w:type="dxa"/>
            <w:vAlign w:val="center"/>
          </w:tcPr>
          <w:p w14:paraId="0CACE6D6">
            <w:pPr>
              <w:adjustRightInd w:val="0"/>
              <w:snapToGrid w:val="0"/>
              <w:jc w:val="center"/>
              <w:rPr>
                <w:rFonts w:eastAsia="方正书宋_GBK"/>
                <w:sz w:val="21"/>
                <w:szCs w:val="21"/>
              </w:rPr>
            </w:pPr>
            <w:r>
              <w:rPr>
                <w:rFonts w:hint="eastAsia" w:eastAsia="方正书宋_GBK"/>
                <w:sz w:val="21"/>
                <w:szCs w:val="21"/>
              </w:rPr>
              <w:t>96%</w:t>
            </w:r>
          </w:p>
        </w:tc>
      </w:tr>
      <w:tr w14:paraId="242902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8" w:type="dxa"/>
            <w:vMerge w:val="continue"/>
            <w:vAlign w:val="center"/>
          </w:tcPr>
          <w:p w14:paraId="794CB65F">
            <w:pPr>
              <w:adjustRightInd w:val="0"/>
              <w:snapToGrid w:val="0"/>
              <w:rPr>
                <w:rFonts w:eastAsia="方正书宋_GBK"/>
                <w:sz w:val="21"/>
                <w:szCs w:val="21"/>
              </w:rPr>
            </w:pPr>
          </w:p>
        </w:tc>
        <w:tc>
          <w:tcPr>
            <w:tcW w:w="798" w:type="dxa"/>
            <w:vAlign w:val="center"/>
          </w:tcPr>
          <w:p w14:paraId="2AE1BC4B">
            <w:pPr>
              <w:adjustRightInd w:val="0"/>
              <w:snapToGrid w:val="0"/>
              <w:jc w:val="center"/>
              <w:rPr>
                <w:rFonts w:eastAsia="方正书宋_GBK"/>
                <w:sz w:val="21"/>
                <w:szCs w:val="21"/>
              </w:rPr>
            </w:pPr>
            <w:r>
              <w:rPr>
                <w:rFonts w:hint="eastAsia" w:eastAsia="方正书宋_GBK"/>
                <w:sz w:val="21"/>
                <w:szCs w:val="21"/>
              </w:rPr>
              <w:t>3</w:t>
            </w:r>
          </w:p>
        </w:tc>
        <w:tc>
          <w:tcPr>
            <w:tcW w:w="4754" w:type="dxa"/>
            <w:vAlign w:val="center"/>
          </w:tcPr>
          <w:p w14:paraId="2E83E0CC">
            <w:pPr>
              <w:adjustRightInd w:val="0"/>
              <w:snapToGrid w:val="0"/>
              <w:rPr>
                <w:rFonts w:eastAsia="方正书宋_GBK"/>
                <w:sz w:val="21"/>
                <w:szCs w:val="21"/>
              </w:rPr>
            </w:pPr>
            <w:r>
              <w:rPr>
                <w:rFonts w:hint="eastAsia" w:eastAsia="方正书宋_GBK"/>
                <w:sz w:val="21"/>
                <w:szCs w:val="21"/>
              </w:rPr>
              <w:t>信息网络与观测设备监控率</w:t>
            </w:r>
          </w:p>
        </w:tc>
        <w:tc>
          <w:tcPr>
            <w:tcW w:w="2237" w:type="dxa"/>
            <w:vAlign w:val="center"/>
          </w:tcPr>
          <w:p w14:paraId="7E9A21F1">
            <w:pPr>
              <w:adjustRightInd w:val="0"/>
              <w:snapToGrid w:val="0"/>
              <w:jc w:val="center"/>
              <w:rPr>
                <w:rFonts w:eastAsia="方正书宋_GBK"/>
                <w:sz w:val="21"/>
                <w:szCs w:val="21"/>
              </w:rPr>
            </w:pPr>
            <w:r>
              <w:rPr>
                <w:rFonts w:hint="eastAsia" w:eastAsia="方正书宋_GBK"/>
                <w:sz w:val="21"/>
                <w:szCs w:val="21"/>
              </w:rPr>
              <w:t>95%</w:t>
            </w:r>
          </w:p>
        </w:tc>
      </w:tr>
      <w:tr w14:paraId="2F70A1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8" w:type="dxa"/>
            <w:vMerge w:val="continue"/>
            <w:vAlign w:val="center"/>
          </w:tcPr>
          <w:p w14:paraId="230CC49E">
            <w:pPr>
              <w:adjustRightInd w:val="0"/>
              <w:snapToGrid w:val="0"/>
              <w:rPr>
                <w:rFonts w:eastAsia="方正书宋_GBK"/>
                <w:sz w:val="21"/>
                <w:szCs w:val="21"/>
              </w:rPr>
            </w:pPr>
          </w:p>
        </w:tc>
        <w:tc>
          <w:tcPr>
            <w:tcW w:w="798" w:type="dxa"/>
            <w:vAlign w:val="center"/>
          </w:tcPr>
          <w:p w14:paraId="6A93F356">
            <w:pPr>
              <w:adjustRightInd w:val="0"/>
              <w:snapToGrid w:val="0"/>
              <w:jc w:val="center"/>
              <w:rPr>
                <w:rFonts w:eastAsia="方正书宋_GBK"/>
                <w:sz w:val="21"/>
                <w:szCs w:val="21"/>
              </w:rPr>
            </w:pPr>
            <w:r>
              <w:rPr>
                <w:rFonts w:hint="eastAsia" w:eastAsia="方正书宋_GBK"/>
                <w:sz w:val="21"/>
                <w:szCs w:val="21"/>
              </w:rPr>
              <w:t>4</w:t>
            </w:r>
          </w:p>
        </w:tc>
        <w:tc>
          <w:tcPr>
            <w:tcW w:w="4754" w:type="dxa"/>
            <w:vAlign w:val="center"/>
          </w:tcPr>
          <w:p w14:paraId="7E4CD0D0">
            <w:pPr>
              <w:adjustRightInd w:val="0"/>
              <w:snapToGrid w:val="0"/>
              <w:rPr>
                <w:rFonts w:eastAsia="方正书宋_GBK"/>
                <w:sz w:val="21"/>
                <w:szCs w:val="21"/>
              </w:rPr>
            </w:pPr>
            <w:r>
              <w:rPr>
                <w:rFonts w:hint="eastAsia" w:eastAsia="方正书宋_GBK"/>
                <w:sz w:val="21"/>
                <w:szCs w:val="21"/>
              </w:rPr>
              <w:t>观测环境综合评分</w:t>
            </w:r>
          </w:p>
        </w:tc>
        <w:tc>
          <w:tcPr>
            <w:tcW w:w="2237" w:type="dxa"/>
            <w:vAlign w:val="center"/>
          </w:tcPr>
          <w:p w14:paraId="78FF98EA">
            <w:pPr>
              <w:adjustRightInd w:val="0"/>
              <w:snapToGrid w:val="0"/>
              <w:jc w:val="center"/>
              <w:rPr>
                <w:rFonts w:eastAsia="方正书宋_GBK"/>
                <w:sz w:val="21"/>
                <w:szCs w:val="21"/>
              </w:rPr>
            </w:pPr>
            <w:r>
              <w:rPr>
                <w:rFonts w:hint="eastAsia" w:eastAsia="方正书宋_GBK"/>
                <w:sz w:val="21"/>
                <w:szCs w:val="21"/>
              </w:rPr>
              <w:t>≥94%</w:t>
            </w:r>
          </w:p>
        </w:tc>
      </w:tr>
      <w:tr w14:paraId="488287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8" w:type="dxa"/>
            <w:vMerge w:val="continue"/>
            <w:vAlign w:val="center"/>
          </w:tcPr>
          <w:p w14:paraId="33919479">
            <w:pPr>
              <w:adjustRightInd w:val="0"/>
              <w:snapToGrid w:val="0"/>
              <w:rPr>
                <w:rFonts w:eastAsia="方正书宋_GBK"/>
                <w:sz w:val="21"/>
                <w:szCs w:val="21"/>
              </w:rPr>
            </w:pPr>
          </w:p>
        </w:tc>
        <w:tc>
          <w:tcPr>
            <w:tcW w:w="798" w:type="dxa"/>
            <w:vAlign w:val="center"/>
          </w:tcPr>
          <w:p w14:paraId="01CF9E42">
            <w:pPr>
              <w:adjustRightInd w:val="0"/>
              <w:snapToGrid w:val="0"/>
              <w:jc w:val="center"/>
              <w:rPr>
                <w:rFonts w:eastAsia="方正书宋_GBK"/>
                <w:sz w:val="21"/>
                <w:szCs w:val="21"/>
              </w:rPr>
            </w:pPr>
            <w:r>
              <w:rPr>
                <w:rFonts w:hint="eastAsia" w:eastAsia="方正书宋_GBK"/>
                <w:sz w:val="21"/>
                <w:szCs w:val="21"/>
              </w:rPr>
              <w:t>5</w:t>
            </w:r>
          </w:p>
        </w:tc>
        <w:tc>
          <w:tcPr>
            <w:tcW w:w="4754" w:type="dxa"/>
            <w:vAlign w:val="center"/>
          </w:tcPr>
          <w:p w14:paraId="69D73F9F">
            <w:pPr>
              <w:adjustRightInd w:val="0"/>
              <w:snapToGrid w:val="0"/>
              <w:rPr>
                <w:rFonts w:eastAsia="方正书宋_GBK"/>
                <w:sz w:val="21"/>
                <w:szCs w:val="21"/>
              </w:rPr>
            </w:pPr>
            <w:r>
              <w:rPr>
                <w:rFonts w:hint="eastAsia" w:eastAsia="方正书宋_GBK"/>
                <w:sz w:val="21"/>
                <w:szCs w:val="21"/>
              </w:rPr>
              <w:t>区域性气象灾害监测率</w:t>
            </w:r>
          </w:p>
        </w:tc>
        <w:tc>
          <w:tcPr>
            <w:tcW w:w="2237" w:type="dxa"/>
            <w:vAlign w:val="center"/>
          </w:tcPr>
          <w:p w14:paraId="3BB79BC0">
            <w:pPr>
              <w:adjustRightInd w:val="0"/>
              <w:snapToGrid w:val="0"/>
              <w:jc w:val="center"/>
              <w:rPr>
                <w:rFonts w:eastAsia="方正书宋_GBK"/>
                <w:sz w:val="21"/>
                <w:szCs w:val="21"/>
              </w:rPr>
            </w:pPr>
            <w:r>
              <w:rPr>
                <w:rFonts w:hint="eastAsia" w:eastAsia="方正书宋_GBK"/>
                <w:sz w:val="21"/>
                <w:szCs w:val="21"/>
              </w:rPr>
              <w:t>≥98%</w:t>
            </w:r>
          </w:p>
        </w:tc>
      </w:tr>
      <w:tr w14:paraId="6BE223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8" w:type="dxa"/>
            <w:vMerge w:val="restart"/>
            <w:vAlign w:val="center"/>
          </w:tcPr>
          <w:p w14:paraId="41D0CDD3">
            <w:pPr>
              <w:adjustRightInd w:val="0"/>
              <w:snapToGrid w:val="0"/>
              <w:rPr>
                <w:rFonts w:eastAsia="方正书宋_GBK"/>
                <w:sz w:val="21"/>
                <w:szCs w:val="21"/>
              </w:rPr>
            </w:pPr>
            <w:r>
              <w:rPr>
                <w:rFonts w:hint="eastAsia" w:eastAsia="方正书宋_GBK"/>
                <w:sz w:val="21"/>
                <w:szCs w:val="21"/>
              </w:rPr>
              <w:t>气象预报</w:t>
            </w:r>
          </w:p>
        </w:tc>
        <w:tc>
          <w:tcPr>
            <w:tcW w:w="798" w:type="dxa"/>
            <w:vAlign w:val="center"/>
          </w:tcPr>
          <w:p w14:paraId="48956200">
            <w:pPr>
              <w:adjustRightInd w:val="0"/>
              <w:snapToGrid w:val="0"/>
              <w:jc w:val="center"/>
              <w:rPr>
                <w:rFonts w:eastAsia="方正书宋_GBK"/>
                <w:sz w:val="21"/>
                <w:szCs w:val="21"/>
              </w:rPr>
            </w:pPr>
            <w:r>
              <w:rPr>
                <w:rFonts w:hint="eastAsia" w:eastAsia="方正书宋_GBK"/>
                <w:sz w:val="21"/>
                <w:szCs w:val="21"/>
              </w:rPr>
              <w:t>6</w:t>
            </w:r>
          </w:p>
        </w:tc>
        <w:tc>
          <w:tcPr>
            <w:tcW w:w="4754" w:type="dxa"/>
            <w:vAlign w:val="center"/>
          </w:tcPr>
          <w:p w14:paraId="3DC7D7AB">
            <w:pPr>
              <w:adjustRightInd w:val="0"/>
              <w:snapToGrid w:val="0"/>
              <w:rPr>
                <w:rFonts w:eastAsia="方正书宋_GBK"/>
                <w:sz w:val="21"/>
                <w:szCs w:val="21"/>
              </w:rPr>
            </w:pPr>
            <w:r>
              <w:rPr>
                <w:rFonts w:hint="eastAsia" w:eastAsia="方正书宋_GBK"/>
                <w:sz w:val="21"/>
                <w:szCs w:val="21"/>
              </w:rPr>
              <w:t>短期晴雨预报准确率</w:t>
            </w:r>
          </w:p>
        </w:tc>
        <w:tc>
          <w:tcPr>
            <w:tcW w:w="2237" w:type="dxa"/>
            <w:vAlign w:val="center"/>
          </w:tcPr>
          <w:p w14:paraId="000F81E3">
            <w:pPr>
              <w:adjustRightInd w:val="0"/>
              <w:snapToGrid w:val="0"/>
              <w:jc w:val="center"/>
              <w:rPr>
                <w:rFonts w:eastAsia="方正书宋_GBK"/>
                <w:sz w:val="21"/>
                <w:szCs w:val="21"/>
              </w:rPr>
            </w:pPr>
            <w:r>
              <w:rPr>
                <w:rFonts w:hint="eastAsia" w:eastAsia="方正书宋_GBK"/>
                <w:sz w:val="21"/>
                <w:szCs w:val="21"/>
              </w:rPr>
              <w:t>≥90%</w:t>
            </w:r>
          </w:p>
        </w:tc>
      </w:tr>
      <w:tr w14:paraId="135FD9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8" w:type="dxa"/>
            <w:vMerge w:val="continue"/>
            <w:vAlign w:val="center"/>
          </w:tcPr>
          <w:p w14:paraId="66DC222B">
            <w:pPr>
              <w:adjustRightInd w:val="0"/>
              <w:snapToGrid w:val="0"/>
              <w:rPr>
                <w:rFonts w:eastAsia="方正书宋_GBK"/>
                <w:sz w:val="21"/>
                <w:szCs w:val="21"/>
              </w:rPr>
            </w:pPr>
          </w:p>
        </w:tc>
        <w:tc>
          <w:tcPr>
            <w:tcW w:w="798" w:type="dxa"/>
            <w:vAlign w:val="center"/>
          </w:tcPr>
          <w:p w14:paraId="36DF64E4">
            <w:pPr>
              <w:adjustRightInd w:val="0"/>
              <w:snapToGrid w:val="0"/>
              <w:jc w:val="center"/>
              <w:rPr>
                <w:rFonts w:eastAsia="方正书宋_GBK"/>
                <w:sz w:val="21"/>
                <w:szCs w:val="21"/>
              </w:rPr>
            </w:pPr>
            <w:r>
              <w:rPr>
                <w:rFonts w:hint="eastAsia" w:eastAsia="方正书宋_GBK"/>
                <w:sz w:val="21"/>
                <w:szCs w:val="21"/>
              </w:rPr>
              <w:t>7</w:t>
            </w:r>
          </w:p>
        </w:tc>
        <w:tc>
          <w:tcPr>
            <w:tcW w:w="4754" w:type="dxa"/>
            <w:vAlign w:val="center"/>
          </w:tcPr>
          <w:p w14:paraId="78F793AA">
            <w:pPr>
              <w:adjustRightInd w:val="0"/>
              <w:snapToGrid w:val="0"/>
              <w:rPr>
                <w:rFonts w:eastAsia="方正书宋_GBK"/>
                <w:sz w:val="21"/>
                <w:szCs w:val="21"/>
              </w:rPr>
            </w:pPr>
            <w:r>
              <w:rPr>
                <w:rFonts w:hint="eastAsia" w:eastAsia="方正书宋_GBK"/>
                <w:sz w:val="21"/>
                <w:szCs w:val="21"/>
              </w:rPr>
              <w:t>灾害性天气预警准确率</w:t>
            </w:r>
          </w:p>
        </w:tc>
        <w:tc>
          <w:tcPr>
            <w:tcW w:w="2237" w:type="dxa"/>
            <w:vAlign w:val="center"/>
          </w:tcPr>
          <w:p w14:paraId="1942F25D">
            <w:pPr>
              <w:adjustRightInd w:val="0"/>
              <w:snapToGrid w:val="0"/>
              <w:jc w:val="center"/>
              <w:rPr>
                <w:rFonts w:eastAsia="方正书宋_GBK"/>
                <w:sz w:val="21"/>
                <w:szCs w:val="21"/>
              </w:rPr>
            </w:pPr>
            <w:r>
              <w:rPr>
                <w:rFonts w:hint="eastAsia" w:eastAsia="方正书宋_GBK"/>
                <w:sz w:val="21"/>
                <w:szCs w:val="21"/>
              </w:rPr>
              <w:t>≥84%</w:t>
            </w:r>
          </w:p>
        </w:tc>
      </w:tr>
      <w:tr w14:paraId="000D53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8" w:type="dxa"/>
            <w:vMerge w:val="continue"/>
            <w:vAlign w:val="center"/>
          </w:tcPr>
          <w:p w14:paraId="78B12EFD">
            <w:pPr>
              <w:adjustRightInd w:val="0"/>
              <w:snapToGrid w:val="0"/>
              <w:rPr>
                <w:rFonts w:eastAsia="方正书宋_GBK"/>
                <w:sz w:val="21"/>
                <w:szCs w:val="21"/>
              </w:rPr>
            </w:pPr>
          </w:p>
        </w:tc>
        <w:tc>
          <w:tcPr>
            <w:tcW w:w="798" w:type="dxa"/>
            <w:vAlign w:val="center"/>
          </w:tcPr>
          <w:p w14:paraId="580D2522">
            <w:pPr>
              <w:adjustRightInd w:val="0"/>
              <w:snapToGrid w:val="0"/>
              <w:jc w:val="center"/>
              <w:rPr>
                <w:rFonts w:eastAsia="方正书宋_GBK"/>
                <w:sz w:val="21"/>
                <w:szCs w:val="21"/>
              </w:rPr>
            </w:pPr>
            <w:r>
              <w:rPr>
                <w:rFonts w:hint="eastAsia" w:eastAsia="方正书宋_GBK"/>
                <w:sz w:val="21"/>
                <w:szCs w:val="21"/>
              </w:rPr>
              <w:t>8</w:t>
            </w:r>
          </w:p>
        </w:tc>
        <w:tc>
          <w:tcPr>
            <w:tcW w:w="4754" w:type="dxa"/>
            <w:vAlign w:val="center"/>
          </w:tcPr>
          <w:p w14:paraId="3808D941">
            <w:pPr>
              <w:adjustRightInd w:val="0"/>
              <w:snapToGrid w:val="0"/>
              <w:rPr>
                <w:rFonts w:eastAsia="方正书宋_GBK"/>
                <w:sz w:val="21"/>
                <w:szCs w:val="21"/>
              </w:rPr>
            </w:pPr>
            <w:r>
              <w:rPr>
                <w:rFonts w:hint="eastAsia" w:eastAsia="方正书宋_GBK"/>
                <w:sz w:val="21"/>
                <w:szCs w:val="21"/>
              </w:rPr>
              <w:t>可用天气预报时效</w:t>
            </w:r>
          </w:p>
        </w:tc>
        <w:tc>
          <w:tcPr>
            <w:tcW w:w="2237" w:type="dxa"/>
            <w:vAlign w:val="center"/>
          </w:tcPr>
          <w:p w14:paraId="553ED658">
            <w:pPr>
              <w:adjustRightInd w:val="0"/>
              <w:snapToGrid w:val="0"/>
              <w:jc w:val="center"/>
              <w:rPr>
                <w:rFonts w:eastAsia="方正书宋_GBK"/>
                <w:sz w:val="21"/>
                <w:szCs w:val="21"/>
              </w:rPr>
            </w:pPr>
            <w:r>
              <w:rPr>
                <w:rFonts w:hint="eastAsia" w:eastAsia="方正书宋_GBK"/>
                <w:sz w:val="21"/>
                <w:szCs w:val="21"/>
              </w:rPr>
              <w:t>10天</w:t>
            </w:r>
          </w:p>
        </w:tc>
      </w:tr>
      <w:tr w14:paraId="12CA4B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8" w:type="dxa"/>
            <w:vMerge w:val="continue"/>
            <w:vAlign w:val="center"/>
          </w:tcPr>
          <w:p w14:paraId="22F96B46">
            <w:pPr>
              <w:adjustRightInd w:val="0"/>
              <w:snapToGrid w:val="0"/>
              <w:rPr>
                <w:rFonts w:eastAsia="方正书宋_GBK"/>
                <w:sz w:val="21"/>
                <w:szCs w:val="21"/>
              </w:rPr>
            </w:pPr>
          </w:p>
        </w:tc>
        <w:tc>
          <w:tcPr>
            <w:tcW w:w="798" w:type="dxa"/>
            <w:vAlign w:val="center"/>
          </w:tcPr>
          <w:p w14:paraId="2905CFCF">
            <w:pPr>
              <w:adjustRightInd w:val="0"/>
              <w:snapToGrid w:val="0"/>
              <w:jc w:val="center"/>
              <w:rPr>
                <w:rFonts w:eastAsia="方正书宋_GBK"/>
                <w:sz w:val="21"/>
                <w:szCs w:val="21"/>
              </w:rPr>
            </w:pPr>
            <w:r>
              <w:rPr>
                <w:rFonts w:hint="eastAsia" w:eastAsia="方正书宋_GBK"/>
                <w:sz w:val="21"/>
                <w:szCs w:val="21"/>
              </w:rPr>
              <w:t>9</w:t>
            </w:r>
          </w:p>
        </w:tc>
        <w:tc>
          <w:tcPr>
            <w:tcW w:w="4754" w:type="dxa"/>
            <w:vAlign w:val="center"/>
          </w:tcPr>
          <w:p w14:paraId="093E9A0C">
            <w:pPr>
              <w:adjustRightInd w:val="0"/>
              <w:snapToGrid w:val="0"/>
              <w:rPr>
                <w:rFonts w:eastAsia="方正书宋_GBK"/>
                <w:sz w:val="21"/>
                <w:szCs w:val="21"/>
              </w:rPr>
            </w:pPr>
            <w:r>
              <w:rPr>
                <w:rFonts w:hint="eastAsia" w:eastAsia="方正书宋_GBK"/>
                <w:sz w:val="21"/>
                <w:szCs w:val="21"/>
              </w:rPr>
              <w:t>灾害性天气预警平均时效</w:t>
            </w:r>
          </w:p>
        </w:tc>
        <w:tc>
          <w:tcPr>
            <w:tcW w:w="2237" w:type="dxa"/>
            <w:vAlign w:val="center"/>
          </w:tcPr>
          <w:p w14:paraId="787F460F">
            <w:pPr>
              <w:adjustRightInd w:val="0"/>
              <w:snapToGrid w:val="0"/>
              <w:jc w:val="center"/>
              <w:rPr>
                <w:rFonts w:eastAsia="方正书宋_GBK"/>
                <w:sz w:val="21"/>
                <w:szCs w:val="21"/>
              </w:rPr>
            </w:pPr>
            <w:r>
              <w:rPr>
                <w:rFonts w:hint="eastAsia" w:eastAsia="方正书宋_GBK"/>
                <w:sz w:val="21"/>
                <w:szCs w:val="21"/>
              </w:rPr>
              <w:t>≥45分钟</w:t>
            </w:r>
          </w:p>
        </w:tc>
      </w:tr>
      <w:tr w14:paraId="33820A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8" w:type="dxa"/>
            <w:vMerge w:val="restart"/>
            <w:vAlign w:val="center"/>
          </w:tcPr>
          <w:p w14:paraId="42CA3E8E">
            <w:pPr>
              <w:adjustRightInd w:val="0"/>
              <w:snapToGrid w:val="0"/>
              <w:rPr>
                <w:rFonts w:eastAsia="方正书宋_GBK"/>
                <w:sz w:val="21"/>
                <w:szCs w:val="21"/>
              </w:rPr>
            </w:pPr>
            <w:r>
              <w:rPr>
                <w:rFonts w:hint="eastAsia" w:eastAsia="方正书宋_GBK"/>
                <w:sz w:val="21"/>
                <w:szCs w:val="21"/>
              </w:rPr>
              <w:t>气象服务</w:t>
            </w:r>
          </w:p>
        </w:tc>
        <w:tc>
          <w:tcPr>
            <w:tcW w:w="798" w:type="dxa"/>
            <w:vAlign w:val="center"/>
          </w:tcPr>
          <w:p w14:paraId="10ACC87C">
            <w:pPr>
              <w:adjustRightInd w:val="0"/>
              <w:snapToGrid w:val="0"/>
              <w:jc w:val="center"/>
              <w:rPr>
                <w:rFonts w:eastAsia="方正书宋_GBK"/>
                <w:sz w:val="21"/>
                <w:szCs w:val="21"/>
              </w:rPr>
            </w:pPr>
            <w:r>
              <w:rPr>
                <w:rFonts w:hint="eastAsia" w:eastAsia="方正书宋_GBK"/>
                <w:sz w:val="21"/>
                <w:szCs w:val="21"/>
              </w:rPr>
              <w:t>10</w:t>
            </w:r>
          </w:p>
        </w:tc>
        <w:tc>
          <w:tcPr>
            <w:tcW w:w="4754" w:type="dxa"/>
            <w:vAlign w:val="center"/>
          </w:tcPr>
          <w:p w14:paraId="5643D930">
            <w:pPr>
              <w:adjustRightInd w:val="0"/>
              <w:snapToGrid w:val="0"/>
              <w:rPr>
                <w:rFonts w:eastAsia="方正书宋_GBK"/>
                <w:sz w:val="21"/>
                <w:szCs w:val="21"/>
              </w:rPr>
            </w:pPr>
            <w:r>
              <w:rPr>
                <w:rFonts w:hint="eastAsia" w:eastAsia="方正书宋_GBK"/>
                <w:sz w:val="21"/>
                <w:szCs w:val="21"/>
              </w:rPr>
              <w:t>气象预警信息覆盖面</w:t>
            </w:r>
          </w:p>
        </w:tc>
        <w:tc>
          <w:tcPr>
            <w:tcW w:w="2237" w:type="dxa"/>
            <w:vAlign w:val="center"/>
          </w:tcPr>
          <w:p w14:paraId="20091CD4">
            <w:pPr>
              <w:adjustRightInd w:val="0"/>
              <w:snapToGrid w:val="0"/>
              <w:jc w:val="center"/>
              <w:rPr>
                <w:rFonts w:eastAsia="方正书宋_GBK"/>
                <w:sz w:val="21"/>
                <w:szCs w:val="21"/>
              </w:rPr>
            </w:pPr>
            <w:r>
              <w:rPr>
                <w:rFonts w:hint="eastAsia" w:eastAsia="方正书宋_GBK"/>
                <w:sz w:val="21"/>
                <w:szCs w:val="21"/>
              </w:rPr>
              <w:t>≥98%</w:t>
            </w:r>
          </w:p>
        </w:tc>
      </w:tr>
      <w:tr w14:paraId="3D88D8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8" w:type="dxa"/>
            <w:vMerge w:val="continue"/>
            <w:vAlign w:val="center"/>
          </w:tcPr>
          <w:p w14:paraId="154E4C3A">
            <w:pPr>
              <w:adjustRightInd w:val="0"/>
              <w:snapToGrid w:val="0"/>
              <w:rPr>
                <w:rFonts w:eastAsia="方正书宋_GBK"/>
                <w:sz w:val="21"/>
                <w:szCs w:val="21"/>
              </w:rPr>
            </w:pPr>
          </w:p>
        </w:tc>
        <w:tc>
          <w:tcPr>
            <w:tcW w:w="798" w:type="dxa"/>
            <w:vAlign w:val="center"/>
          </w:tcPr>
          <w:p w14:paraId="494CC5CD">
            <w:pPr>
              <w:adjustRightInd w:val="0"/>
              <w:snapToGrid w:val="0"/>
              <w:jc w:val="center"/>
              <w:rPr>
                <w:rFonts w:eastAsia="方正书宋_GBK"/>
                <w:sz w:val="21"/>
                <w:szCs w:val="21"/>
              </w:rPr>
            </w:pPr>
            <w:r>
              <w:rPr>
                <w:rFonts w:hint="eastAsia" w:eastAsia="方正书宋_GBK"/>
                <w:sz w:val="21"/>
                <w:szCs w:val="21"/>
              </w:rPr>
              <w:t>11</w:t>
            </w:r>
          </w:p>
        </w:tc>
        <w:tc>
          <w:tcPr>
            <w:tcW w:w="4754" w:type="dxa"/>
            <w:vAlign w:val="center"/>
          </w:tcPr>
          <w:p w14:paraId="7C3D33BC">
            <w:pPr>
              <w:adjustRightInd w:val="0"/>
              <w:snapToGrid w:val="0"/>
              <w:rPr>
                <w:rFonts w:eastAsia="方正书宋_GBK"/>
                <w:sz w:val="21"/>
                <w:szCs w:val="21"/>
              </w:rPr>
            </w:pPr>
            <w:r>
              <w:rPr>
                <w:rFonts w:hint="eastAsia" w:eastAsia="方正书宋_GBK"/>
                <w:sz w:val="21"/>
                <w:szCs w:val="21"/>
              </w:rPr>
              <w:t>气象科普知识普及程度</w:t>
            </w:r>
          </w:p>
        </w:tc>
        <w:tc>
          <w:tcPr>
            <w:tcW w:w="2237" w:type="dxa"/>
            <w:vAlign w:val="center"/>
          </w:tcPr>
          <w:p w14:paraId="4F9833B2">
            <w:pPr>
              <w:adjustRightInd w:val="0"/>
              <w:snapToGrid w:val="0"/>
              <w:jc w:val="center"/>
              <w:rPr>
                <w:rFonts w:eastAsia="方正书宋_GBK"/>
                <w:sz w:val="21"/>
                <w:szCs w:val="21"/>
              </w:rPr>
            </w:pPr>
            <w:r>
              <w:rPr>
                <w:rFonts w:hint="eastAsia" w:eastAsia="方正书宋_GBK"/>
                <w:sz w:val="21"/>
                <w:szCs w:val="21"/>
              </w:rPr>
              <w:t>86%</w:t>
            </w:r>
          </w:p>
        </w:tc>
      </w:tr>
      <w:tr w14:paraId="3D8E07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8" w:type="dxa"/>
            <w:vMerge w:val="continue"/>
            <w:vAlign w:val="center"/>
          </w:tcPr>
          <w:p w14:paraId="52D1CD08">
            <w:pPr>
              <w:adjustRightInd w:val="0"/>
              <w:snapToGrid w:val="0"/>
              <w:rPr>
                <w:rFonts w:eastAsia="方正书宋_GBK"/>
                <w:sz w:val="21"/>
                <w:szCs w:val="21"/>
              </w:rPr>
            </w:pPr>
          </w:p>
        </w:tc>
        <w:tc>
          <w:tcPr>
            <w:tcW w:w="798" w:type="dxa"/>
            <w:vAlign w:val="center"/>
          </w:tcPr>
          <w:p w14:paraId="08B9DC78">
            <w:pPr>
              <w:adjustRightInd w:val="0"/>
              <w:snapToGrid w:val="0"/>
              <w:jc w:val="center"/>
              <w:rPr>
                <w:rFonts w:eastAsia="方正书宋_GBK"/>
                <w:sz w:val="21"/>
                <w:szCs w:val="21"/>
              </w:rPr>
            </w:pPr>
            <w:r>
              <w:rPr>
                <w:rFonts w:hint="eastAsia" w:eastAsia="方正书宋_GBK"/>
                <w:sz w:val="21"/>
                <w:szCs w:val="21"/>
              </w:rPr>
              <w:t>12</w:t>
            </w:r>
          </w:p>
        </w:tc>
        <w:tc>
          <w:tcPr>
            <w:tcW w:w="4754" w:type="dxa"/>
            <w:vAlign w:val="center"/>
          </w:tcPr>
          <w:p w14:paraId="70711B5E">
            <w:pPr>
              <w:adjustRightInd w:val="0"/>
              <w:snapToGrid w:val="0"/>
              <w:rPr>
                <w:rFonts w:eastAsia="方正书宋_GBK"/>
                <w:sz w:val="21"/>
                <w:szCs w:val="21"/>
              </w:rPr>
            </w:pPr>
            <w:r>
              <w:rPr>
                <w:rFonts w:hint="eastAsia" w:eastAsia="方正书宋_GBK"/>
                <w:sz w:val="21"/>
                <w:szCs w:val="21"/>
              </w:rPr>
              <w:t>气象信息社会共享率</w:t>
            </w:r>
          </w:p>
        </w:tc>
        <w:tc>
          <w:tcPr>
            <w:tcW w:w="2237" w:type="dxa"/>
            <w:vAlign w:val="center"/>
          </w:tcPr>
          <w:p w14:paraId="00F78C5C">
            <w:pPr>
              <w:adjustRightInd w:val="0"/>
              <w:snapToGrid w:val="0"/>
              <w:jc w:val="center"/>
              <w:rPr>
                <w:rFonts w:eastAsia="方正书宋_GBK"/>
                <w:sz w:val="21"/>
                <w:szCs w:val="21"/>
              </w:rPr>
            </w:pPr>
            <w:r>
              <w:rPr>
                <w:rFonts w:hint="eastAsia" w:eastAsia="方正书宋_GBK"/>
                <w:sz w:val="21"/>
                <w:szCs w:val="21"/>
              </w:rPr>
              <w:t>≥95%</w:t>
            </w:r>
          </w:p>
        </w:tc>
      </w:tr>
      <w:tr w14:paraId="40A99C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8" w:type="dxa"/>
            <w:vMerge w:val="continue"/>
            <w:vAlign w:val="center"/>
          </w:tcPr>
          <w:p w14:paraId="439546D3">
            <w:pPr>
              <w:adjustRightInd w:val="0"/>
              <w:snapToGrid w:val="0"/>
              <w:rPr>
                <w:rFonts w:eastAsia="方正书宋_GBK"/>
                <w:sz w:val="21"/>
                <w:szCs w:val="21"/>
              </w:rPr>
            </w:pPr>
          </w:p>
        </w:tc>
        <w:tc>
          <w:tcPr>
            <w:tcW w:w="798" w:type="dxa"/>
            <w:vAlign w:val="center"/>
          </w:tcPr>
          <w:p w14:paraId="3B5AF6BB">
            <w:pPr>
              <w:adjustRightInd w:val="0"/>
              <w:snapToGrid w:val="0"/>
              <w:jc w:val="center"/>
              <w:rPr>
                <w:rFonts w:eastAsia="方正书宋_GBK"/>
                <w:sz w:val="21"/>
                <w:szCs w:val="21"/>
              </w:rPr>
            </w:pPr>
            <w:r>
              <w:rPr>
                <w:rFonts w:hint="eastAsia" w:eastAsia="方正书宋_GBK"/>
                <w:sz w:val="21"/>
                <w:szCs w:val="21"/>
              </w:rPr>
              <w:t>13</w:t>
            </w:r>
          </w:p>
        </w:tc>
        <w:tc>
          <w:tcPr>
            <w:tcW w:w="4754" w:type="dxa"/>
            <w:vAlign w:val="center"/>
          </w:tcPr>
          <w:p w14:paraId="3DA03ED5">
            <w:pPr>
              <w:adjustRightInd w:val="0"/>
              <w:snapToGrid w:val="0"/>
              <w:rPr>
                <w:rFonts w:eastAsia="方正书宋_GBK"/>
                <w:sz w:val="21"/>
                <w:szCs w:val="21"/>
              </w:rPr>
            </w:pPr>
            <w:r>
              <w:rPr>
                <w:rFonts w:hint="eastAsia" w:eastAsia="方正书宋_GBK"/>
                <w:sz w:val="21"/>
                <w:szCs w:val="21"/>
              </w:rPr>
              <w:t>行业气象服务满意度</w:t>
            </w:r>
          </w:p>
        </w:tc>
        <w:tc>
          <w:tcPr>
            <w:tcW w:w="2237" w:type="dxa"/>
            <w:vAlign w:val="center"/>
          </w:tcPr>
          <w:p w14:paraId="36B25A42">
            <w:pPr>
              <w:adjustRightInd w:val="0"/>
              <w:snapToGrid w:val="0"/>
              <w:jc w:val="center"/>
              <w:rPr>
                <w:rFonts w:eastAsia="方正书宋_GBK"/>
                <w:sz w:val="21"/>
                <w:szCs w:val="21"/>
              </w:rPr>
            </w:pPr>
            <w:r>
              <w:rPr>
                <w:rFonts w:hint="eastAsia" w:eastAsia="方正书宋_GBK"/>
                <w:sz w:val="21"/>
                <w:szCs w:val="21"/>
              </w:rPr>
              <w:t>≥95%</w:t>
            </w:r>
          </w:p>
        </w:tc>
      </w:tr>
      <w:tr w14:paraId="56E255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8" w:type="dxa"/>
            <w:vMerge w:val="continue"/>
            <w:vAlign w:val="center"/>
          </w:tcPr>
          <w:p w14:paraId="28A7DFF6">
            <w:pPr>
              <w:adjustRightInd w:val="0"/>
              <w:snapToGrid w:val="0"/>
              <w:rPr>
                <w:rFonts w:eastAsia="方正书宋_GBK"/>
                <w:sz w:val="21"/>
                <w:szCs w:val="21"/>
              </w:rPr>
            </w:pPr>
          </w:p>
        </w:tc>
        <w:tc>
          <w:tcPr>
            <w:tcW w:w="798" w:type="dxa"/>
            <w:vAlign w:val="center"/>
          </w:tcPr>
          <w:p w14:paraId="550AD3C5">
            <w:pPr>
              <w:adjustRightInd w:val="0"/>
              <w:snapToGrid w:val="0"/>
              <w:jc w:val="center"/>
              <w:rPr>
                <w:rFonts w:eastAsia="方正书宋_GBK"/>
                <w:sz w:val="21"/>
                <w:szCs w:val="21"/>
              </w:rPr>
            </w:pPr>
            <w:r>
              <w:rPr>
                <w:rFonts w:hint="eastAsia" w:eastAsia="方正书宋_GBK"/>
                <w:sz w:val="21"/>
                <w:szCs w:val="21"/>
              </w:rPr>
              <w:t>14</w:t>
            </w:r>
          </w:p>
        </w:tc>
        <w:tc>
          <w:tcPr>
            <w:tcW w:w="4754" w:type="dxa"/>
            <w:vAlign w:val="center"/>
          </w:tcPr>
          <w:p w14:paraId="632F5FC2">
            <w:pPr>
              <w:adjustRightInd w:val="0"/>
              <w:snapToGrid w:val="0"/>
              <w:rPr>
                <w:rFonts w:eastAsia="方正书宋_GBK"/>
                <w:sz w:val="21"/>
                <w:szCs w:val="21"/>
              </w:rPr>
            </w:pPr>
            <w:r>
              <w:rPr>
                <w:rFonts w:hint="eastAsia" w:eastAsia="方正书宋_GBK"/>
                <w:sz w:val="21"/>
                <w:szCs w:val="21"/>
              </w:rPr>
              <w:t>公众气象服务满意度</w:t>
            </w:r>
          </w:p>
        </w:tc>
        <w:tc>
          <w:tcPr>
            <w:tcW w:w="2237" w:type="dxa"/>
            <w:vAlign w:val="center"/>
          </w:tcPr>
          <w:p w14:paraId="7CE12D1D">
            <w:pPr>
              <w:adjustRightInd w:val="0"/>
              <w:snapToGrid w:val="0"/>
              <w:jc w:val="center"/>
              <w:rPr>
                <w:rFonts w:eastAsia="方正书宋_GBK"/>
                <w:sz w:val="21"/>
                <w:szCs w:val="21"/>
              </w:rPr>
            </w:pPr>
            <w:r>
              <w:rPr>
                <w:rFonts w:hint="eastAsia" w:eastAsia="方正书宋_GBK"/>
                <w:sz w:val="21"/>
                <w:szCs w:val="21"/>
              </w:rPr>
              <w:t>≥90%</w:t>
            </w:r>
          </w:p>
        </w:tc>
      </w:tr>
      <w:tr w14:paraId="093382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8" w:type="dxa"/>
            <w:vMerge w:val="restart"/>
            <w:vAlign w:val="center"/>
          </w:tcPr>
          <w:p w14:paraId="4420C4B3">
            <w:pPr>
              <w:adjustRightInd w:val="0"/>
              <w:snapToGrid w:val="0"/>
              <w:rPr>
                <w:rFonts w:eastAsia="方正书宋_GBK"/>
                <w:sz w:val="21"/>
                <w:szCs w:val="21"/>
              </w:rPr>
            </w:pPr>
            <w:r>
              <w:rPr>
                <w:rFonts w:hint="eastAsia" w:eastAsia="方正书宋_GBK"/>
                <w:sz w:val="21"/>
                <w:szCs w:val="21"/>
              </w:rPr>
              <w:t>科技创新</w:t>
            </w:r>
          </w:p>
        </w:tc>
        <w:tc>
          <w:tcPr>
            <w:tcW w:w="798" w:type="dxa"/>
            <w:vAlign w:val="center"/>
          </w:tcPr>
          <w:p w14:paraId="5B334CC2">
            <w:pPr>
              <w:adjustRightInd w:val="0"/>
              <w:snapToGrid w:val="0"/>
              <w:jc w:val="center"/>
              <w:rPr>
                <w:rFonts w:eastAsia="方正书宋_GBK"/>
                <w:sz w:val="21"/>
                <w:szCs w:val="21"/>
              </w:rPr>
            </w:pPr>
            <w:r>
              <w:rPr>
                <w:rFonts w:hint="eastAsia" w:eastAsia="方正书宋_GBK"/>
                <w:sz w:val="21"/>
                <w:szCs w:val="21"/>
              </w:rPr>
              <w:t>15</w:t>
            </w:r>
          </w:p>
        </w:tc>
        <w:tc>
          <w:tcPr>
            <w:tcW w:w="4754" w:type="dxa"/>
            <w:vAlign w:val="center"/>
          </w:tcPr>
          <w:p w14:paraId="730AB513">
            <w:pPr>
              <w:adjustRightInd w:val="0"/>
              <w:snapToGrid w:val="0"/>
              <w:rPr>
                <w:rFonts w:eastAsia="方正书宋_GBK"/>
                <w:sz w:val="21"/>
                <w:szCs w:val="21"/>
              </w:rPr>
            </w:pPr>
            <w:r>
              <w:rPr>
                <w:rFonts w:hint="eastAsia" w:eastAsia="方正书宋_GBK"/>
                <w:sz w:val="21"/>
                <w:szCs w:val="21"/>
              </w:rPr>
              <w:t>科技成果转化率</w:t>
            </w:r>
          </w:p>
        </w:tc>
        <w:tc>
          <w:tcPr>
            <w:tcW w:w="2237" w:type="dxa"/>
            <w:vAlign w:val="center"/>
          </w:tcPr>
          <w:p w14:paraId="56EDB382">
            <w:pPr>
              <w:adjustRightInd w:val="0"/>
              <w:snapToGrid w:val="0"/>
              <w:jc w:val="center"/>
              <w:rPr>
                <w:rFonts w:eastAsia="方正书宋_GBK"/>
                <w:sz w:val="21"/>
                <w:szCs w:val="21"/>
              </w:rPr>
            </w:pPr>
            <w:r>
              <w:rPr>
                <w:rFonts w:hint="eastAsia" w:eastAsia="方正书宋_GBK"/>
                <w:sz w:val="21"/>
                <w:szCs w:val="21"/>
              </w:rPr>
              <w:t>84%</w:t>
            </w:r>
          </w:p>
        </w:tc>
      </w:tr>
      <w:tr w14:paraId="1C55DA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8" w:type="dxa"/>
            <w:vMerge w:val="continue"/>
            <w:vAlign w:val="center"/>
          </w:tcPr>
          <w:p w14:paraId="075E4899">
            <w:pPr>
              <w:adjustRightInd w:val="0"/>
              <w:snapToGrid w:val="0"/>
              <w:rPr>
                <w:rFonts w:eastAsia="方正书宋_GBK"/>
                <w:sz w:val="21"/>
                <w:szCs w:val="21"/>
              </w:rPr>
            </w:pPr>
          </w:p>
        </w:tc>
        <w:tc>
          <w:tcPr>
            <w:tcW w:w="798" w:type="dxa"/>
            <w:vAlign w:val="center"/>
          </w:tcPr>
          <w:p w14:paraId="7B1AF62B">
            <w:pPr>
              <w:adjustRightInd w:val="0"/>
              <w:snapToGrid w:val="0"/>
              <w:jc w:val="center"/>
              <w:rPr>
                <w:rFonts w:eastAsia="方正书宋_GBK"/>
                <w:sz w:val="21"/>
                <w:szCs w:val="21"/>
              </w:rPr>
            </w:pPr>
            <w:r>
              <w:rPr>
                <w:rFonts w:hint="eastAsia" w:eastAsia="方正书宋_GBK"/>
                <w:sz w:val="21"/>
                <w:szCs w:val="21"/>
              </w:rPr>
              <w:t>16</w:t>
            </w:r>
          </w:p>
        </w:tc>
        <w:tc>
          <w:tcPr>
            <w:tcW w:w="4754" w:type="dxa"/>
            <w:vAlign w:val="center"/>
          </w:tcPr>
          <w:p w14:paraId="46D78882">
            <w:pPr>
              <w:adjustRightInd w:val="0"/>
              <w:snapToGrid w:val="0"/>
              <w:rPr>
                <w:rFonts w:eastAsia="方正书宋_GBK"/>
                <w:sz w:val="21"/>
                <w:szCs w:val="21"/>
              </w:rPr>
            </w:pPr>
            <w:r>
              <w:rPr>
                <w:rFonts w:hint="eastAsia" w:eastAsia="方正书宋_GBK"/>
                <w:sz w:val="21"/>
                <w:szCs w:val="21"/>
              </w:rPr>
              <w:t>入选国家、省级气象高层次人才</w:t>
            </w:r>
          </w:p>
        </w:tc>
        <w:tc>
          <w:tcPr>
            <w:tcW w:w="2237" w:type="dxa"/>
            <w:vAlign w:val="center"/>
          </w:tcPr>
          <w:p w14:paraId="1984F104">
            <w:pPr>
              <w:adjustRightInd w:val="0"/>
              <w:snapToGrid w:val="0"/>
              <w:jc w:val="center"/>
              <w:rPr>
                <w:rFonts w:eastAsia="方正书宋_GBK"/>
                <w:sz w:val="21"/>
                <w:szCs w:val="21"/>
              </w:rPr>
            </w:pPr>
            <w:r>
              <w:rPr>
                <w:rFonts w:hint="eastAsia" w:eastAsia="方正书宋_GBK"/>
                <w:sz w:val="21"/>
                <w:szCs w:val="21"/>
              </w:rPr>
              <w:t>≥3人</w:t>
            </w:r>
          </w:p>
        </w:tc>
      </w:tr>
      <w:tr w14:paraId="26005F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8" w:type="dxa"/>
            <w:vMerge w:val="continue"/>
            <w:vAlign w:val="center"/>
          </w:tcPr>
          <w:p w14:paraId="4C3436F6">
            <w:pPr>
              <w:adjustRightInd w:val="0"/>
              <w:snapToGrid w:val="0"/>
              <w:rPr>
                <w:rFonts w:eastAsia="方正书宋_GBK"/>
                <w:sz w:val="21"/>
                <w:szCs w:val="21"/>
              </w:rPr>
            </w:pPr>
          </w:p>
        </w:tc>
        <w:tc>
          <w:tcPr>
            <w:tcW w:w="798" w:type="dxa"/>
            <w:vAlign w:val="center"/>
          </w:tcPr>
          <w:p w14:paraId="07D7A5C4">
            <w:pPr>
              <w:adjustRightInd w:val="0"/>
              <w:snapToGrid w:val="0"/>
              <w:jc w:val="center"/>
              <w:rPr>
                <w:rFonts w:eastAsia="方正书宋_GBK"/>
                <w:sz w:val="21"/>
                <w:szCs w:val="21"/>
              </w:rPr>
            </w:pPr>
            <w:r>
              <w:rPr>
                <w:rFonts w:hint="eastAsia" w:eastAsia="方正书宋_GBK"/>
                <w:sz w:val="21"/>
                <w:szCs w:val="21"/>
              </w:rPr>
              <w:t>17</w:t>
            </w:r>
          </w:p>
        </w:tc>
        <w:tc>
          <w:tcPr>
            <w:tcW w:w="4754" w:type="dxa"/>
            <w:vAlign w:val="center"/>
          </w:tcPr>
          <w:p w14:paraId="173CFF3F">
            <w:pPr>
              <w:adjustRightInd w:val="0"/>
              <w:snapToGrid w:val="0"/>
              <w:rPr>
                <w:rFonts w:eastAsia="方正书宋_GBK"/>
                <w:sz w:val="21"/>
                <w:szCs w:val="21"/>
              </w:rPr>
            </w:pPr>
            <w:r>
              <w:rPr>
                <w:rFonts w:hint="eastAsia" w:eastAsia="方正书宋_GBK"/>
                <w:sz w:val="21"/>
                <w:szCs w:val="21"/>
              </w:rPr>
              <w:t>气象科技人力资源水平</w:t>
            </w:r>
          </w:p>
        </w:tc>
        <w:tc>
          <w:tcPr>
            <w:tcW w:w="2237" w:type="dxa"/>
            <w:vAlign w:val="center"/>
          </w:tcPr>
          <w:p w14:paraId="721C9CBD">
            <w:pPr>
              <w:adjustRightInd w:val="0"/>
              <w:snapToGrid w:val="0"/>
              <w:jc w:val="center"/>
              <w:rPr>
                <w:rFonts w:eastAsia="方正书宋_GBK"/>
                <w:sz w:val="21"/>
                <w:szCs w:val="21"/>
              </w:rPr>
            </w:pPr>
            <w:r>
              <w:rPr>
                <w:rFonts w:hint="eastAsia" w:eastAsia="方正书宋_GBK"/>
                <w:sz w:val="21"/>
                <w:szCs w:val="21"/>
              </w:rPr>
              <w:t>87%</w:t>
            </w:r>
          </w:p>
        </w:tc>
      </w:tr>
      <w:tr w14:paraId="70F4B4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8" w:type="dxa"/>
            <w:vMerge w:val="restart"/>
            <w:vAlign w:val="center"/>
          </w:tcPr>
          <w:p w14:paraId="51966531">
            <w:pPr>
              <w:adjustRightInd w:val="0"/>
              <w:snapToGrid w:val="0"/>
              <w:rPr>
                <w:rFonts w:eastAsia="方正书宋_GBK"/>
                <w:sz w:val="21"/>
                <w:szCs w:val="21"/>
              </w:rPr>
            </w:pPr>
            <w:r>
              <w:rPr>
                <w:rFonts w:hint="eastAsia" w:eastAsia="方正书宋_GBK"/>
                <w:sz w:val="21"/>
                <w:szCs w:val="21"/>
              </w:rPr>
              <w:t>依法治理</w:t>
            </w:r>
          </w:p>
        </w:tc>
        <w:tc>
          <w:tcPr>
            <w:tcW w:w="798" w:type="dxa"/>
            <w:vAlign w:val="center"/>
          </w:tcPr>
          <w:p w14:paraId="278108A2">
            <w:pPr>
              <w:adjustRightInd w:val="0"/>
              <w:snapToGrid w:val="0"/>
              <w:jc w:val="center"/>
              <w:rPr>
                <w:rFonts w:eastAsia="方正书宋_GBK"/>
                <w:sz w:val="21"/>
                <w:szCs w:val="21"/>
              </w:rPr>
            </w:pPr>
            <w:r>
              <w:rPr>
                <w:rFonts w:hint="eastAsia" w:eastAsia="方正书宋_GBK"/>
                <w:sz w:val="21"/>
                <w:szCs w:val="21"/>
              </w:rPr>
              <w:t>18</w:t>
            </w:r>
          </w:p>
        </w:tc>
        <w:tc>
          <w:tcPr>
            <w:tcW w:w="4754" w:type="dxa"/>
            <w:vAlign w:val="center"/>
          </w:tcPr>
          <w:p w14:paraId="0C8B2ACD">
            <w:pPr>
              <w:adjustRightInd w:val="0"/>
              <w:snapToGrid w:val="0"/>
              <w:rPr>
                <w:rFonts w:eastAsia="方正书宋_GBK"/>
                <w:sz w:val="21"/>
                <w:szCs w:val="21"/>
              </w:rPr>
            </w:pPr>
            <w:r>
              <w:rPr>
                <w:rFonts w:hint="eastAsia" w:eastAsia="方正书宋_GBK"/>
                <w:sz w:val="21"/>
                <w:szCs w:val="21"/>
              </w:rPr>
              <w:t>气象改革事项落实到位率</w:t>
            </w:r>
          </w:p>
        </w:tc>
        <w:tc>
          <w:tcPr>
            <w:tcW w:w="2237" w:type="dxa"/>
            <w:vAlign w:val="center"/>
          </w:tcPr>
          <w:p w14:paraId="6E7D2392">
            <w:pPr>
              <w:adjustRightInd w:val="0"/>
              <w:snapToGrid w:val="0"/>
              <w:jc w:val="center"/>
              <w:rPr>
                <w:rFonts w:eastAsia="方正书宋_GBK"/>
                <w:sz w:val="21"/>
                <w:szCs w:val="21"/>
              </w:rPr>
            </w:pPr>
            <w:r>
              <w:rPr>
                <w:rFonts w:hint="eastAsia" w:eastAsia="方正书宋_GBK"/>
                <w:sz w:val="21"/>
                <w:szCs w:val="21"/>
              </w:rPr>
              <w:t>100%</w:t>
            </w:r>
          </w:p>
        </w:tc>
      </w:tr>
      <w:tr w14:paraId="7592A8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8" w:type="dxa"/>
            <w:vMerge w:val="continue"/>
            <w:vAlign w:val="center"/>
          </w:tcPr>
          <w:p w14:paraId="4B97E782">
            <w:pPr>
              <w:adjustRightInd w:val="0"/>
              <w:snapToGrid w:val="0"/>
              <w:rPr>
                <w:rFonts w:eastAsia="方正书宋_GBK"/>
                <w:sz w:val="21"/>
                <w:szCs w:val="21"/>
              </w:rPr>
            </w:pPr>
          </w:p>
        </w:tc>
        <w:tc>
          <w:tcPr>
            <w:tcW w:w="798" w:type="dxa"/>
            <w:vAlign w:val="center"/>
          </w:tcPr>
          <w:p w14:paraId="028EA3EF">
            <w:pPr>
              <w:adjustRightInd w:val="0"/>
              <w:snapToGrid w:val="0"/>
              <w:jc w:val="center"/>
              <w:rPr>
                <w:rFonts w:eastAsia="方正书宋_GBK"/>
                <w:sz w:val="21"/>
                <w:szCs w:val="21"/>
              </w:rPr>
            </w:pPr>
            <w:r>
              <w:rPr>
                <w:rFonts w:hint="eastAsia" w:eastAsia="方正书宋_GBK"/>
                <w:sz w:val="21"/>
                <w:szCs w:val="21"/>
              </w:rPr>
              <w:t>19</w:t>
            </w:r>
          </w:p>
        </w:tc>
        <w:tc>
          <w:tcPr>
            <w:tcW w:w="4754" w:type="dxa"/>
            <w:vAlign w:val="center"/>
          </w:tcPr>
          <w:p w14:paraId="50B00548">
            <w:pPr>
              <w:adjustRightInd w:val="0"/>
              <w:snapToGrid w:val="0"/>
              <w:rPr>
                <w:rFonts w:eastAsia="方正书宋_GBK"/>
                <w:sz w:val="21"/>
                <w:szCs w:val="21"/>
              </w:rPr>
            </w:pPr>
            <w:r>
              <w:rPr>
                <w:rFonts w:hint="eastAsia" w:eastAsia="方正书宋_GBK"/>
                <w:sz w:val="21"/>
                <w:szCs w:val="21"/>
              </w:rPr>
              <w:t>基层气象预警传播功能配置率</w:t>
            </w:r>
          </w:p>
        </w:tc>
        <w:tc>
          <w:tcPr>
            <w:tcW w:w="2237" w:type="dxa"/>
            <w:vAlign w:val="center"/>
          </w:tcPr>
          <w:p w14:paraId="1C61D939">
            <w:pPr>
              <w:adjustRightInd w:val="0"/>
              <w:snapToGrid w:val="0"/>
              <w:jc w:val="center"/>
              <w:rPr>
                <w:rFonts w:eastAsia="方正书宋_GBK"/>
                <w:sz w:val="21"/>
                <w:szCs w:val="21"/>
              </w:rPr>
            </w:pPr>
            <w:r>
              <w:rPr>
                <w:rFonts w:hint="eastAsia" w:eastAsia="方正书宋_GBK"/>
                <w:sz w:val="21"/>
                <w:szCs w:val="21"/>
              </w:rPr>
              <w:t>100%</w:t>
            </w:r>
          </w:p>
        </w:tc>
      </w:tr>
      <w:tr w14:paraId="5C62AA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8" w:type="dxa"/>
            <w:vMerge w:val="continue"/>
            <w:vAlign w:val="center"/>
          </w:tcPr>
          <w:p w14:paraId="693B8D56">
            <w:pPr>
              <w:adjustRightInd w:val="0"/>
              <w:snapToGrid w:val="0"/>
              <w:rPr>
                <w:rFonts w:eastAsia="方正书宋_GBK"/>
                <w:sz w:val="21"/>
                <w:szCs w:val="21"/>
              </w:rPr>
            </w:pPr>
          </w:p>
        </w:tc>
        <w:tc>
          <w:tcPr>
            <w:tcW w:w="798" w:type="dxa"/>
            <w:vAlign w:val="center"/>
          </w:tcPr>
          <w:p w14:paraId="6A75548D">
            <w:pPr>
              <w:adjustRightInd w:val="0"/>
              <w:snapToGrid w:val="0"/>
              <w:jc w:val="center"/>
              <w:rPr>
                <w:rFonts w:eastAsia="方正书宋_GBK"/>
                <w:sz w:val="21"/>
                <w:szCs w:val="21"/>
              </w:rPr>
            </w:pPr>
            <w:r>
              <w:rPr>
                <w:rFonts w:hint="eastAsia" w:eastAsia="方正书宋_GBK"/>
                <w:sz w:val="21"/>
                <w:szCs w:val="21"/>
              </w:rPr>
              <w:t>20</w:t>
            </w:r>
          </w:p>
        </w:tc>
        <w:tc>
          <w:tcPr>
            <w:tcW w:w="4754" w:type="dxa"/>
            <w:vAlign w:val="center"/>
          </w:tcPr>
          <w:p w14:paraId="3796CC92">
            <w:pPr>
              <w:adjustRightInd w:val="0"/>
              <w:snapToGrid w:val="0"/>
              <w:rPr>
                <w:rFonts w:eastAsia="方正书宋_GBK"/>
                <w:sz w:val="21"/>
                <w:szCs w:val="21"/>
              </w:rPr>
            </w:pPr>
            <w:r>
              <w:rPr>
                <w:rFonts w:hint="eastAsia" w:eastAsia="方正书宋_GBK"/>
                <w:sz w:val="21"/>
                <w:szCs w:val="21"/>
              </w:rPr>
              <w:t>区气象工作机制建立率</w:t>
            </w:r>
          </w:p>
        </w:tc>
        <w:tc>
          <w:tcPr>
            <w:tcW w:w="2237" w:type="dxa"/>
            <w:vAlign w:val="center"/>
          </w:tcPr>
          <w:p w14:paraId="385EB72C">
            <w:pPr>
              <w:adjustRightInd w:val="0"/>
              <w:snapToGrid w:val="0"/>
              <w:jc w:val="center"/>
              <w:rPr>
                <w:rFonts w:eastAsia="方正书宋_GBK"/>
                <w:sz w:val="21"/>
                <w:szCs w:val="21"/>
              </w:rPr>
            </w:pPr>
            <w:r>
              <w:rPr>
                <w:rFonts w:hint="eastAsia" w:eastAsia="方正书宋_GBK"/>
                <w:sz w:val="21"/>
                <w:szCs w:val="21"/>
              </w:rPr>
              <w:t>100%</w:t>
            </w:r>
          </w:p>
        </w:tc>
      </w:tr>
      <w:tr w14:paraId="1E1DD2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8" w:type="dxa"/>
            <w:vMerge w:val="restart"/>
            <w:vAlign w:val="center"/>
          </w:tcPr>
          <w:p w14:paraId="493FCA58">
            <w:pPr>
              <w:adjustRightInd w:val="0"/>
              <w:snapToGrid w:val="0"/>
              <w:rPr>
                <w:rFonts w:eastAsia="方正书宋_GBK"/>
                <w:sz w:val="21"/>
                <w:szCs w:val="21"/>
              </w:rPr>
            </w:pPr>
            <w:r>
              <w:rPr>
                <w:rFonts w:hint="eastAsia" w:eastAsia="方正书宋_GBK"/>
                <w:sz w:val="21"/>
                <w:szCs w:val="21"/>
              </w:rPr>
              <w:t>依法治理</w:t>
            </w:r>
          </w:p>
        </w:tc>
        <w:tc>
          <w:tcPr>
            <w:tcW w:w="798" w:type="dxa"/>
            <w:vAlign w:val="center"/>
          </w:tcPr>
          <w:p w14:paraId="7E260B82">
            <w:pPr>
              <w:adjustRightInd w:val="0"/>
              <w:snapToGrid w:val="0"/>
              <w:jc w:val="center"/>
              <w:rPr>
                <w:rFonts w:eastAsia="方正书宋_GBK"/>
                <w:sz w:val="21"/>
                <w:szCs w:val="21"/>
              </w:rPr>
            </w:pPr>
            <w:r>
              <w:rPr>
                <w:rFonts w:hint="eastAsia" w:eastAsia="方正书宋_GBK"/>
                <w:sz w:val="21"/>
                <w:szCs w:val="21"/>
              </w:rPr>
              <w:t>21</w:t>
            </w:r>
          </w:p>
        </w:tc>
        <w:tc>
          <w:tcPr>
            <w:tcW w:w="4754" w:type="dxa"/>
            <w:vAlign w:val="center"/>
          </w:tcPr>
          <w:p w14:paraId="1AB88DD0">
            <w:pPr>
              <w:adjustRightInd w:val="0"/>
              <w:snapToGrid w:val="0"/>
              <w:rPr>
                <w:rFonts w:eastAsia="方正书宋_GBK"/>
                <w:sz w:val="21"/>
                <w:szCs w:val="21"/>
              </w:rPr>
            </w:pPr>
            <w:r>
              <w:rPr>
                <w:rFonts w:hint="eastAsia" w:eastAsia="方正书宋_GBK"/>
                <w:sz w:val="21"/>
                <w:szCs w:val="21"/>
              </w:rPr>
              <w:t>全国文明单位</w:t>
            </w:r>
          </w:p>
        </w:tc>
        <w:tc>
          <w:tcPr>
            <w:tcW w:w="2237" w:type="dxa"/>
            <w:vAlign w:val="center"/>
          </w:tcPr>
          <w:p w14:paraId="705878A9">
            <w:pPr>
              <w:adjustRightInd w:val="0"/>
              <w:snapToGrid w:val="0"/>
              <w:jc w:val="center"/>
              <w:rPr>
                <w:rFonts w:eastAsia="方正书宋_GBK"/>
                <w:sz w:val="21"/>
                <w:szCs w:val="21"/>
              </w:rPr>
            </w:pPr>
            <w:r>
              <w:rPr>
                <w:rFonts w:hint="eastAsia" w:eastAsia="方正书宋_GBK"/>
                <w:sz w:val="21"/>
                <w:szCs w:val="21"/>
              </w:rPr>
              <w:t>≥1个</w:t>
            </w:r>
          </w:p>
        </w:tc>
      </w:tr>
      <w:tr w14:paraId="1327D1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8" w:type="dxa"/>
            <w:vMerge w:val="continue"/>
            <w:vAlign w:val="center"/>
          </w:tcPr>
          <w:p w14:paraId="6D447C13">
            <w:pPr>
              <w:adjustRightInd w:val="0"/>
              <w:snapToGrid w:val="0"/>
              <w:rPr>
                <w:rFonts w:eastAsia="方正书宋_GBK"/>
                <w:sz w:val="21"/>
                <w:szCs w:val="21"/>
              </w:rPr>
            </w:pPr>
          </w:p>
        </w:tc>
        <w:tc>
          <w:tcPr>
            <w:tcW w:w="798" w:type="dxa"/>
            <w:vAlign w:val="center"/>
          </w:tcPr>
          <w:p w14:paraId="7F7B59AD">
            <w:pPr>
              <w:adjustRightInd w:val="0"/>
              <w:snapToGrid w:val="0"/>
              <w:jc w:val="center"/>
              <w:rPr>
                <w:rFonts w:eastAsia="方正书宋_GBK"/>
                <w:sz w:val="21"/>
                <w:szCs w:val="21"/>
              </w:rPr>
            </w:pPr>
            <w:r>
              <w:rPr>
                <w:rFonts w:hint="eastAsia" w:eastAsia="方正书宋_GBK"/>
                <w:sz w:val="21"/>
                <w:szCs w:val="21"/>
              </w:rPr>
              <w:t>22</w:t>
            </w:r>
          </w:p>
        </w:tc>
        <w:tc>
          <w:tcPr>
            <w:tcW w:w="4754" w:type="dxa"/>
            <w:vAlign w:val="center"/>
          </w:tcPr>
          <w:p w14:paraId="4515899F">
            <w:pPr>
              <w:adjustRightInd w:val="0"/>
              <w:snapToGrid w:val="0"/>
              <w:rPr>
                <w:rFonts w:eastAsia="方正书宋_GBK"/>
                <w:sz w:val="21"/>
                <w:szCs w:val="21"/>
              </w:rPr>
            </w:pPr>
            <w:r>
              <w:rPr>
                <w:rFonts w:hint="eastAsia" w:eastAsia="方正书宋_GBK"/>
                <w:sz w:val="21"/>
                <w:szCs w:val="21"/>
              </w:rPr>
              <w:t>气象基本现代化监测指标</w:t>
            </w:r>
          </w:p>
        </w:tc>
        <w:tc>
          <w:tcPr>
            <w:tcW w:w="2237" w:type="dxa"/>
            <w:vAlign w:val="center"/>
          </w:tcPr>
          <w:p w14:paraId="6BBF6B5A">
            <w:pPr>
              <w:adjustRightInd w:val="0"/>
              <w:snapToGrid w:val="0"/>
              <w:jc w:val="center"/>
              <w:rPr>
                <w:rFonts w:eastAsia="方正书宋_GBK"/>
                <w:sz w:val="21"/>
                <w:szCs w:val="21"/>
              </w:rPr>
            </w:pPr>
            <w:r>
              <w:rPr>
                <w:rFonts w:hint="eastAsia" w:eastAsia="方正书宋_GBK"/>
                <w:sz w:val="21"/>
                <w:szCs w:val="21"/>
              </w:rPr>
              <w:t>95%</w:t>
            </w:r>
          </w:p>
        </w:tc>
      </w:tr>
    </w:tbl>
    <w:p w14:paraId="049E2FF0">
      <w:pPr>
        <w:adjustRightInd w:val="0"/>
        <w:snapToGrid w:val="0"/>
        <w:spacing w:line="300" w:lineRule="auto"/>
        <w:ind w:firstLine="420" w:firstLineChars="200"/>
        <w:rPr>
          <w:rFonts w:eastAsia="方正仿宋_GBK"/>
          <w:sz w:val="21"/>
          <w:szCs w:val="21"/>
        </w:rPr>
      </w:pPr>
    </w:p>
    <w:p w14:paraId="57ECFC61">
      <w:pPr>
        <w:adjustRightInd w:val="0"/>
        <w:snapToGrid w:val="0"/>
        <w:spacing w:line="300" w:lineRule="auto"/>
        <w:ind w:firstLine="640" w:firstLineChars="200"/>
        <w:rPr>
          <w:rFonts w:eastAsia="方正黑体_GBK"/>
          <w:sz w:val="32"/>
          <w:szCs w:val="32"/>
        </w:rPr>
      </w:pPr>
      <w:r>
        <w:rPr>
          <w:rFonts w:hint="eastAsia" w:eastAsia="方正黑体_GBK"/>
          <w:sz w:val="32"/>
          <w:szCs w:val="32"/>
        </w:rPr>
        <w:t>三、主要任务</w:t>
      </w:r>
    </w:p>
    <w:p w14:paraId="4AC5890B">
      <w:pPr>
        <w:adjustRightInd w:val="0"/>
        <w:snapToGrid w:val="0"/>
        <w:spacing w:line="300" w:lineRule="auto"/>
        <w:ind w:firstLine="640" w:firstLineChars="200"/>
        <w:rPr>
          <w:rFonts w:eastAsia="方正仿宋_GBK"/>
          <w:sz w:val="32"/>
          <w:szCs w:val="32"/>
        </w:rPr>
      </w:pPr>
      <w:r>
        <w:rPr>
          <w:rFonts w:hint="eastAsia" w:eastAsia="方正仿宋_GBK"/>
          <w:sz w:val="32"/>
          <w:szCs w:val="32"/>
        </w:rPr>
        <w:t>（一）加强防御体系建设，发挥防灾减灾第一道防线作用</w:t>
      </w:r>
    </w:p>
    <w:p w14:paraId="452F44DD">
      <w:pPr>
        <w:adjustRightInd w:val="0"/>
        <w:snapToGrid w:val="0"/>
        <w:spacing w:line="300" w:lineRule="auto"/>
        <w:ind w:firstLine="640" w:firstLineChars="200"/>
        <w:rPr>
          <w:rFonts w:eastAsia="方正仿宋_GBK"/>
          <w:sz w:val="32"/>
          <w:szCs w:val="32"/>
        </w:rPr>
      </w:pPr>
      <w:r>
        <w:rPr>
          <w:rFonts w:hint="eastAsia" w:eastAsia="方正仿宋_GBK"/>
          <w:sz w:val="32"/>
          <w:szCs w:val="32"/>
        </w:rPr>
        <w:t>1．健全气象灾害防御组织体系</w:t>
      </w:r>
    </w:p>
    <w:p w14:paraId="52600B08">
      <w:pPr>
        <w:adjustRightInd w:val="0"/>
        <w:snapToGrid w:val="0"/>
        <w:spacing w:line="300" w:lineRule="auto"/>
        <w:ind w:firstLine="640" w:firstLineChars="200"/>
        <w:rPr>
          <w:rFonts w:eastAsia="方正仿宋_GBK"/>
          <w:sz w:val="32"/>
          <w:szCs w:val="32"/>
        </w:rPr>
      </w:pPr>
      <w:r>
        <w:rPr>
          <w:rFonts w:hint="eastAsia" w:eastAsia="方正仿宋_GBK"/>
          <w:sz w:val="32"/>
          <w:szCs w:val="32"/>
        </w:rPr>
        <w:t>坚持属地为主、综合减灾原则，将气象防灾减灾工作纳入各级综合防灾减灾体系和基层网格化社会治理体系。建成覆盖到所有区、街道（镇）、社区（村）、重点单位的气象灾害防御组织体系，进一步明确气象灾害防御责任人和职责。把气象灾害预警信息传播纳入社会治理网格员工作。气象灾害防御知识纳入防御责任人和社会治理网格员培训内容。继续将公共气象服务纳入基层基本公共服务范畴，持续协同推进综合减灾示范社区建设。加强森林防火、人影作业、防雷减灾、防汛抗旱、应急处置等防范应对专家队伍建设，提高极端天气应急处置能力。</w:t>
      </w:r>
    </w:p>
    <w:p w14:paraId="3D2C5FE8">
      <w:pPr>
        <w:adjustRightInd w:val="0"/>
        <w:snapToGrid w:val="0"/>
        <w:spacing w:line="300" w:lineRule="auto"/>
        <w:ind w:firstLine="640" w:firstLineChars="200"/>
        <w:rPr>
          <w:rFonts w:eastAsia="方正仿宋_GBK"/>
          <w:sz w:val="32"/>
          <w:szCs w:val="32"/>
        </w:rPr>
      </w:pPr>
      <w:r>
        <w:rPr>
          <w:rFonts w:hint="eastAsia" w:eastAsia="方正仿宋_GBK"/>
          <w:sz w:val="32"/>
          <w:szCs w:val="32"/>
        </w:rPr>
        <w:t>2．完善气象灾害联防工作机制</w:t>
      </w:r>
    </w:p>
    <w:p w14:paraId="1A2D5314">
      <w:pPr>
        <w:adjustRightInd w:val="0"/>
        <w:snapToGrid w:val="0"/>
        <w:spacing w:line="300" w:lineRule="auto"/>
        <w:ind w:firstLine="640" w:firstLineChars="200"/>
        <w:rPr>
          <w:rFonts w:eastAsia="方正仿宋_GBK"/>
          <w:sz w:val="32"/>
          <w:szCs w:val="32"/>
        </w:rPr>
      </w:pPr>
      <w:r>
        <w:rPr>
          <w:rFonts w:hint="eastAsia" w:eastAsia="方正仿宋_GBK"/>
          <w:sz w:val="32"/>
          <w:szCs w:val="32"/>
        </w:rPr>
        <w:t>落实气象灾害应急指挥部职能。制定实施气象灾害防御规划，完善各级气象灾害应急预案，健全气象灾害应急响应机制。完善气象与应急管理、水务、生态环境、规划和自然资源、农业农村等部门间统筹规划、共建共享、应急联动机制，面向长江、滁河、水阳江、秦淮河等流域防汛及城市内涝防御等需求，强化流域、都市圈关联区域、城区跨区域气象灾害联防、信息共享和大数据分析，提升城市排水防涝能力和中小流域防汛抗旱指挥调度、联防联控水平。</w:t>
      </w:r>
    </w:p>
    <w:p w14:paraId="2F579BF3">
      <w:pPr>
        <w:adjustRightInd w:val="0"/>
        <w:snapToGrid w:val="0"/>
        <w:spacing w:line="300" w:lineRule="auto"/>
        <w:ind w:firstLine="640" w:firstLineChars="200"/>
        <w:rPr>
          <w:rFonts w:eastAsia="方正仿宋_GBK"/>
          <w:sz w:val="32"/>
          <w:szCs w:val="32"/>
        </w:rPr>
      </w:pPr>
      <w:r>
        <w:rPr>
          <w:rFonts w:hint="eastAsia" w:eastAsia="方正仿宋_GBK"/>
          <w:sz w:val="32"/>
          <w:szCs w:val="32"/>
        </w:rPr>
        <w:t>3．加强城乡气象灾害风险管理</w:t>
      </w:r>
    </w:p>
    <w:p w14:paraId="6A21B1EB">
      <w:pPr>
        <w:adjustRightInd w:val="0"/>
        <w:snapToGrid w:val="0"/>
        <w:spacing w:line="300" w:lineRule="auto"/>
        <w:ind w:firstLine="640" w:firstLineChars="200"/>
        <w:rPr>
          <w:rFonts w:eastAsia="方正仿宋_GBK"/>
          <w:sz w:val="32"/>
          <w:szCs w:val="32"/>
        </w:rPr>
      </w:pPr>
      <w:r>
        <w:rPr>
          <w:rFonts w:hint="eastAsia" w:eastAsia="方正仿宋_GBK"/>
          <w:sz w:val="32"/>
          <w:szCs w:val="32"/>
        </w:rPr>
        <w:t>开展气象灾害风险普查，建立气象灾害风险信息库，编制数字化气象灾害风险图。加强高影响灾害性天气对不同承灾体影响机理分析，发展基于风险普查的气象灾害影响预报和风险预警。建立气象灾害风险评估制度，开展城市规划、重大项目和重大工程的气候可行性论证。加强综合减灾示范社区建设和气象灾害防御重点单位管理，健全基层社区气象灾害风险防控体系。强化政策性农业保险，稳步推广天气指数保险等农业保险气象服务。</w:t>
      </w:r>
    </w:p>
    <w:p w14:paraId="716E68A2">
      <w:pPr>
        <w:adjustRightInd w:val="0"/>
        <w:snapToGrid w:val="0"/>
        <w:spacing w:line="300" w:lineRule="auto"/>
        <w:ind w:firstLine="640" w:firstLineChars="200"/>
        <w:rPr>
          <w:rFonts w:eastAsia="方正仿宋_GBK"/>
          <w:sz w:val="32"/>
          <w:szCs w:val="32"/>
        </w:rPr>
      </w:pPr>
      <w:r>
        <w:rPr>
          <w:rFonts w:hint="eastAsia" w:eastAsia="方正仿宋_GBK"/>
          <w:sz w:val="32"/>
          <w:szCs w:val="32"/>
        </w:rPr>
        <w:t>4．提高气象灾害预警发布能力</w:t>
      </w:r>
    </w:p>
    <w:p w14:paraId="212A5FC7">
      <w:pPr>
        <w:adjustRightInd w:val="0"/>
        <w:snapToGrid w:val="0"/>
        <w:spacing w:line="300" w:lineRule="auto"/>
        <w:ind w:firstLine="640" w:firstLineChars="200"/>
        <w:rPr>
          <w:rFonts w:eastAsia="方正仿宋_GBK"/>
          <w:sz w:val="32"/>
          <w:szCs w:val="32"/>
        </w:rPr>
      </w:pPr>
      <w:r>
        <w:rPr>
          <w:rFonts w:hint="eastAsia" w:eastAsia="方正仿宋_GBK"/>
          <w:sz w:val="32"/>
          <w:szCs w:val="32"/>
        </w:rPr>
        <w:t>进一步落实《南京市突发公共事件预警信息发布管理办法》《南京市重大气象灾害预警信息快速发布实施细则》。规范预警信息传播管理，完善预警信息发布机制。实现应急广播、公共发布媒体渠道与预警信息发布平台有机联动，畅通重大气象灾害预警信息快速发布“绿色通道”。基于新型通讯技术，实现与市应急管理体系的深度融合，完善突发事件预警信息发布系统，拓展系统应用领域，提升预警信息发布覆盖率、及时性和精准度。全面落实基层气象灾害预警传播功能配置标准，建立健全重大气象灾害预警信息面向基层社区、城市社会治理网格、重点服务对象靶向发布、点对点推送机制。</w:t>
      </w:r>
    </w:p>
    <w:p w14:paraId="6133E793">
      <w:pPr>
        <w:adjustRightInd w:val="0"/>
        <w:snapToGrid w:val="0"/>
        <w:spacing w:line="300" w:lineRule="auto"/>
        <w:ind w:firstLine="640" w:firstLineChars="200"/>
        <w:rPr>
          <w:rFonts w:eastAsia="方正仿宋_GBK"/>
          <w:sz w:val="32"/>
          <w:szCs w:val="32"/>
        </w:rPr>
      </w:pPr>
      <w:r>
        <w:rPr>
          <w:rFonts w:hint="eastAsia" w:eastAsia="方正仿宋_GBK"/>
          <w:sz w:val="32"/>
          <w:szCs w:val="32"/>
        </w:rPr>
        <w:t>5．增强城市运行气象保障能力</w:t>
      </w:r>
    </w:p>
    <w:p w14:paraId="33BFD469">
      <w:pPr>
        <w:adjustRightInd w:val="0"/>
        <w:snapToGrid w:val="0"/>
        <w:spacing w:line="300" w:lineRule="auto"/>
        <w:ind w:firstLine="640" w:firstLineChars="200"/>
        <w:rPr>
          <w:rFonts w:eastAsia="方正仿宋_GBK"/>
          <w:sz w:val="32"/>
          <w:szCs w:val="32"/>
        </w:rPr>
      </w:pPr>
      <w:r>
        <w:rPr>
          <w:rFonts w:hint="eastAsia" w:eastAsia="方正仿宋_GBK"/>
          <w:sz w:val="32"/>
          <w:szCs w:val="32"/>
        </w:rPr>
        <w:t>推动气象融入城市管理、应急处置和综合治理体系，深化重点行业智慧气象服务，推进气象与应急管理、公安、消防、生态环境、水务、交通、建委、城管、规划和自然资源、农业农村、文旅、卫生、体育、绿化园林、海事、地铁等部门和行业协作，加强重大活动气象保障工作，完善城市积涝监测预警、地铁运营保障等气象服务辅助平台与产品，建立相关行业高影响天气预警指标体系，完善气象应急移动服务综合保障系统，服务防灾减灾、交通监管、污染防控、城市治理、水电气调度、全域旅游发展等重点领域，融入海绵城市、韧性城市、生态城市建设，减轻暴雨、台风、暴雪、强对流等气象灾害风险，提高城市运行管理精细化服务水平，保障城市稳定运行。建立健全江北新区管委会、主城区区政府与气象部门工作机制，协同做好气象灾害防御和城市管理气象保障工作。</w:t>
      </w:r>
    </w:p>
    <w:p w14:paraId="460F5CBD">
      <w:pPr>
        <w:adjustRightInd w:val="0"/>
        <w:snapToGrid w:val="0"/>
        <w:spacing w:line="300" w:lineRule="auto"/>
        <w:ind w:firstLine="640" w:firstLineChars="200"/>
        <w:rPr>
          <w:rFonts w:eastAsia="方正仿宋_GBK"/>
          <w:sz w:val="32"/>
          <w:szCs w:val="32"/>
        </w:rPr>
      </w:pPr>
      <w:r>
        <w:rPr>
          <w:rFonts w:hint="eastAsia" w:eastAsia="方正仿宋_GBK"/>
          <w:sz w:val="32"/>
          <w:szCs w:val="32"/>
        </w:rPr>
        <w:t>6．大力加强气象科普宣传</w:t>
      </w:r>
    </w:p>
    <w:p w14:paraId="4AE4C8D2">
      <w:pPr>
        <w:adjustRightInd w:val="0"/>
        <w:snapToGrid w:val="0"/>
        <w:spacing w:line="300" w:lineRule="auto"/>
        <w:ind w:firstLine="640" w:firstLineChars="200"/>
        <w:rPr>
          <w:rFonts w:eastAsia="方正仿宋_GBK"/>
          <w:sz w:val="32"/>
          <w:szCs w:val="32"/>
        </w:rPr>
      </w:pPr>
      <w:r>
        <w:rPr>
          <w:rFonts w:hint="eastAsia" w:eastAsia="方正仿宋_GBK"/>
          <w:sz w:val="32"/>
          <w:szCs w:val="32"/>
        </w:rPr>
        <w:t>按照中国气象局印发的《关于进一步加强气象科普工作的意见》，推动新时代气象科普工作业务化、社会化、常态化、品牌化发展，努力提高公众对气象灾害及其防御知识的认识，增强防灾减灾意识和自救互救能力，实现对气象灾害的有效预防，最大限度避免和减轻气象灾害带来的损失。扩大气象科普宣传工作的覆盖面，加大各级政府、各部门间的联动，进一步整合资源，切实加强基层气象科普宣传工作的力度，拓宽科普宣传工作的覆盖面。创建全国气象科普宣传教育基地，建设南京气象百年台站站史馆。将气象灾害防御知识纳入各级综合科普体系和全民科学素质行动计划，融入中小学义务教育体系，持续提升气象科普普及率，推动气象科学教育全面发展。</w:t>
      </w:r>
    </w:p>
    <w:p w14:paraId="38F85A29">
      <w:pPr>
        <w:adjustRightInd w:val="0"/>
        <w:snapToGrid w:val="0"/>
        <w:spacing w:line="300" w:lineRule="auto"/>
        <w:ind w:firstLine="640" w:firstLineChars="200"/>
        <w:rPr>
          <w:rFonts w:eastAsia="方正仿宋_GBK"/>
          <w:sz w:val="32"/>
          <w:szCs w:val="32"/>
        </w:rPr>
      </w:pPr>
      <w:r>
        <w:rPr>
          <w:rFonts w:hint="eastAsia" w:eastAsia="方正仿宋_GBK"/>
          <w:sz w:val="32"/>
          <w:szCs w:val="32"/>
        </w:rPr>
        <w:t>（二）保障美丽古都建设，增强气象服务生态文明建设能力</w:t>
      </w:r>
    </w:p>
    <w:p w14:paraId="1C237A0C">
      <w:pPr>
        <w:adjustRightInd w:val="0"/>
        <w:snapToGrid w:val="0"/>
        <w:spacing w:line="300" w:lineRule="auto"/>
        <w:ind w:firstLine="640" w:firstLineChars="200"/>
        <w:rPr>
          <w:rFonts w:eastAsia="方正仿宋_GBK"/>
          <w:sz w:val="32"/>
          <w:szCs w:val="32"/>
        </w:rPr>
      </w:pPr>
      <w:r>
        <w:rPr>
          <w:rFonts w:hint="eastAsia" w:eastAsia="方正仿宋_GBK"/>
          <w:sz w:val="32"/>
          <w:szCs w:val="32"/>
        </w:rPr>
        <w:t>1．深化全域生态气象服务</w:t>
      </w:r>
    </w:p>
    <w:p w14:paraId="2F1263DD">
      <w:pPr>
        <w:adjustRightInd w:val="0"/>
        <w:snapToGrid w:val="0"/>
        <w:spacing w:line="300" w:lineRule="auto"/>
        <w:ind w:firstLine="640" w:firstLineChars="200"/>
        <w:rPr>
          <w:rFonts w:eastAsia="方正仿宋_GBK"/>
          <w:sz w:val="32"/>
          <w:szCs w:val="32"/>
        </w:rPr>
      </w:pPr>
      <w:r>
        <w:rPr>
          <w:rFonts w:hint="eastAsia" w:eastAsia="方正仿宋_GBK"/>
          <w:sz w:val="32"/>
          <w:szCs w:val="32"/>
        </w:rPr>
        <w:t>完善南京都市圈、长江大保护等城市及重要生态功能区多源协同观测网。持续开展大气二氧化碳、甲烷等温室气体浓度监测，加强水碳通量、植被、物候等要素观测。分析温室气体质量浓度时空变化特征，开展自然植被固碳能力评估，为温室气体减排路径优化与碳达峰、碳中和治理提供气象支撑。应用气象卫星遥感评估技术，开展生态气象监测和风险预警，加强生态气候承载力、城市热岛、城市气候变化风险评估。推动中国天然氧吧、生态宜居等特色气候品牌创建。探索开展人工影响天气新型作业技术应用试验，提升服务抗旱、大气污染防治、森林防火等能力。</w:t>
      </w:r>
    </w:p>
    <w:p w14:paraId="585A46A3">
      <w:pPr>
        <w:adjustRightInd w:val="0"/>
        <w:snapToGrid w:val="0"/>
        <w:spacing w:line="300" w:lineRule="auto"/>
        <w:ind w:firstLine="640" w:firstLineChars="200"/>
        <w:rPr>
          <w:rFonts w:eastAsia="方正仿宋_GBK"/>
          <w:sz w:val="32"/>
          <w:szCs w:val="32"/>
        </w:rPr>
      </w:pPr>
      <w:r>
        <w:rPr>
          <w:rFonts w:hint="eastAsia" w:eastAsia="方正仿宋_GBK"/>
          <w:sz w:val="32"/>
          <w:szCs w:val="32"/>
        </w:rPr>
        <w:t>2．提升大气污染防控气象服务能力</w:t>
      </w:r>
    </w:p>
    <w:p w14:paraId="0D1E76B4">
      <w:pPr>
        <w:adjustRightInd w:val="0"/>
        <w:snapToGrid w:val="0"/>
        <w:spacing w:line="300" w:lineRule="auto"/>
        <w:ind w:firstLine="640" w:firstLineChars="200"/>
        <w:rPr>
          <w:rFonts w:eastAsia="方正仿宋_GBK"/>
          <w:sz w:val="32"/>
          <w:szCs w:val="32"/>
        </w:rPr>
      </w:pPr>
      <w:r>
        <w:rPr>
          <w:rFonts w:hint="eastAsia" w:eastAsia="方正仿宋_GBK"/>
          <w:sz w:val="32"/>
          <w:szCs w:val="32"/>
        </w:rPr>
        <w:t>提高大气污染气象条件监测预警水平，延长天气预报、空气质量预测、重污染天气预警时效，提升预报准确率。加强部门联动、协同防控，开展输入型大气污染物跟踪监测、区域传输预警和气象条件对主要污染物影响的定量评估。推进大气污染防控数据共享、会商研判和应急联动，联合加强细颗粒物、臭氧等污染的气象条件、发生机理等基础研究。适时开展人工增雨作业，改善空气质量。开展城市大气环境容量动态评估和大气污染综合治理气象决策服务，为大气环境质量改善、产业布局和能源结构优化提供科学依据。</w:t>
      </w:r>
    </w:p>
    <w:p w14:paraId="5462F78A">
      <w:pPr>
        <w:adjustRightInd w:val="0"/>
        <w:snapToGrid w:val="0"/>
        <w:spacing w:line="300" w:lineRule="auto"/>
        <w:ind w:firstLine="640" w:firstLineChars="200"/>
        <w:rPr>
          <w:rFonts w:eastAsia="方正仿宋_GBK"/>
          <w:sz w:val="32"/>
          <w:szCs w:val="32"/>
        </w:rPr>
      </w:pPr>
      <w:r>
        <w:rPr>
          <w:rFonts w:hint="eastAsia" w:eastAsia="方正仿宋_GBK"/>
          <w:sz w:val="32"/>
          <w:szCs w:val="32"/>
        </w:rPr>
        <w:t>3．提高乡村振兴气象服务保障水平</w:t>
      </w:r>
    </w:p>
    <w:p w14:paraId="708EAFF1">
      <w:pPr>
        <w:adjustRightInd w:val="0"/>
        <w:snapToGrid w:val="0"/>
        <w:spacing w:line="300" w:lineRule="auto"/>
        <w:ind w:firstLine="640" w:firstLineChars="200"/>
        <w:rPr>
          <w:rFonts w:eastAsia="方正仿宋_GBK"/>
          <w:sz w:val="32"/>
          <w:szCs w:val="32"/>
        </w:rPr>
      </w:pPr>
      <w:r>
        <w:rPr>
          <w:rFonts w:hint="eastAsia" w:eastAsia="方正仿宋_GBK"/>
          <w:sz w:val="32"/>
          <w:szCs w:val="32"/>
        </w:rPr>
        <w:t>构建完善都市现代农业气象观测试验站网，将气象观测纳入农业“三区三园”建设体系。加强农业生产气象保障和农村气象灾害防御体系建设。加强粮食安全气象保障，强化市域特色农业、设施农业气象服务。建立健全规模性种养殖品种、休闲观光农业精细化气象服务产品体系，推进现代农业气象信息技术应用示范。开展特色农产品气候品质评价，联合培育创建特色农业气象服务中心。优化农业气象信息服务渠道，推进农业农村大数据、气象基础信息融合共享，实现基于位置、关键农时的精细化、定制化、直通式农业气象信息服务。</w:t>
      </w:r>
    </w:p>
    <w:p w14:paraId="3ACFAEFF">
      <w:pPr>
        <w:adjustRightInd w:val="0"/>
        <w:snapToGrid w:val="0"/>
        <w:spacing w:line="300" w:lineRule="auto"/>
        <w:ind w:firstLine="640" w:firstLineChars="200"/>
        <w:rPr>
          <w:rFonts w:eastAsia="方正仿宋_GBK"/>
          <w:sz w:val="32"/>
          <w:szCs w:val="32"/>
        </w:rPr>
      </w:pPr>
      <w:r>
        <w:rPr>
          <w:rFonts w:hint="eastAsia" w:eastAsia="方正仿宋_GBK"/>
          <w:sz w:val="32"/>
          <w:szCs w:val="32"/>
        </w:rPr>
        <w:t>（三）发展现代气象业务，不断提高气象监测预报服务水平</w:t>
      </w:r>
    </w:p>
    <w:p w14:paraId="56C8401F">
      <w:pPr>
        <w:adjustRightInd w:val="0"/>
        <w:snapToGrid w:val="0"/>
        <w:spacing w:line="300" w:lineRule="auto"/>
        <w:ind w:firstLine="640" w:firstLineChars="200"/>
        <w:rPr>
          <w:rFonts w:eastAsia="方正仿宋_GBK"/>
          <w:sz w:val="32"/>
          <w:szCs w:val="32"/>
        </w:rPr>
      </w:pPr>
      <w:r>
        <w:rPr>
          <w:rFonts w:hint="eastAsia" w:eastAsia="方正仿宋_GBK"/>
          <w:sz w:val="32"/>
          <w:szCs w:val="32"/>
        </w:rPr>
        <w:t>1．提高气象灾害监测能力</w:t>
      </w:r>
    </w:p>
    <w:p w14:paraId="0F09FF33">
      <w:pPr>
        <w:adjustRightInd w:val="0"/>
        <w:snapToGrid w:val="0"/>
        <w:spacing w:line="300" w:lineRule="auto"/>
        <w:ind w:firstLine="640" w:firstLineChars="200"/>
        <w:rPr>
          <w:rFonts w:eastAsia="方正仿宋_GBK"/>
          <w:sz w:val="32"/>
          <w:szCs w:val="32"/>
        </w:rPr>
      </w:pPr>
      <w:r>
        <w:rPr>
          <w:rFonts w:hint="eastAsia" w:eastAsia="方正仿宋_GBK"/>
          <w:sz w:val="32"/>
          <w:szCs w:val="32"/>
        </w:rPr>
        <w:t>优化观测站网布局，发展立体化、广覆盖、智能化气象观测业务。加强气象高影响区域和高敏感行业气象监测能力建设，完善特大城市大气垂直观测系统，增加城区积雪、高架道路结冰、地铁沿线等气象观测，填补气象灾害监测盲区。完善X波段双偏振天气雷达布网，探索开展相控阵天气雷达布设试验和建设。发展智能观测、协同观测，充分利用卫星、雷达、微波、激光等手段，提高灾害性天气监测预警能力。发展多源资料融合技术，推动新型资料融合，提升新建大气垂直观测系统建设整体效益。发展观测数据在线质控及误差分析订正技术，建立全链条质控业务，实现基于要素关联分析的天气实况智能判别和观测质量诊断。完善气象探测设备保障体系，强化气象探测设施维护，严格执行气象探测环境保护专项规划，确保探测设施安全运行，保障探测数据的有效性、稳定性。</w:t>
      </w:r>
    </w:p>
    <w:p w14:paraId="517AE3EC">
      <w:pPr>
        <w:adjustRightInd w:val="0"/>
        <w:snapToGrid w:val="0"/>
        <w:spacing w:line="300" w:lineRule="auto"/>
        <w:ind w:firstLine="640" w:firstLineChars="200"/>
        <w:rPr>
          <w:rFonts w:eastAsia="方正仿宋_GBK"/>
          <w:sz w:val="32"/>
          <w:szCs w:val="32"/>
        </w:rPr>
      </w:pPr>
      <w:r>
        <w:rPr>
          <w:rFonts w:hint="eastAsia" w:eastAsia="方正仿宋_GBK"/>
          <w:sz w:val="32"/>
          <w:szCs w:val="32"/>
        </w:rPr>
        <w:t>2．提高预报预测准确率</w:t>
      </w:r>
    </w:p>
    <w:p w14:paraId="5C340B85">
      <w:pPr>
        <w:adjustRightInd w:val="0"/>
        <w:snapToGrid w:val="0"/>
        <w:spacing w:line="300" w:lineRule="auto"/>
        <w:ind w:firstLine="640" w:firstLineChars="200"/>
        <w:rPr>
          <w:rFonts w:eastAsia="方正仿宋_GBK"/>
          <w:sz w:val="32"/>
          <w:szCs w:val="32"/>
        </w:rPr>
      </w:pPr>
      <w:r>
        <w:rPr>
          <w:rFonts w:hint="eastAsia" w:eastAsia="方正仿宋_GBK"/>
          <w:sz w:val="32"/>
          <w:szCs w:val="32"/>
        </w:rPr>
        <w:t>建设和改进中小尺度突发灾害性天气监测和预报预警系统，协同省级升级改造气象综合分析与预报预测业务一体化平台。全面推进气象研究型业务，完善以数值预报释用为基础的无缝隙、网格化、定量化的现代天气业务，强化精细化智能网格预报业务技术研发与应用，提高时空分辨率。开展全流程、全时效在线精细化预报检验，提升预报产品性能，全面支撑智能网格气象预报业务发展。开展多波段天气雷达数据融合与产品研发。强化台风、暴雨、强对流、暴雪等多尺度灾害性、极端性、高影响天气客观化、概率化预报预警业务。开展多源观测资料三维实时分析，建立基于影响的气象服务指标。完善城市内涝、大气污染、地质灾害联合预报预警和影响评估模型，提升灾害性天气落区预警准确率，延长预见期和预警时效，灾害性天气预警时间提前至45分钟以上。</w:t>
      </w:r>
    </w:p>
    <w:p w14:paraId="4ABA8FFC">
      <w:pPr>
        <w:adjustRightInd w:val="0"/>
        <w:snapToGrid w:val="0"/>
        <w:spacing w:line="300" w:lineRule="auto"/>
        <w:ind w:firstLine="640" w:firstLineChars="200"/>
        <w:rPr>
          <w:rFonts w:eastAsia="方正仿宋_GBK"/>
          <w:sz w:val="32"/>
          <w:szCs w:val="32"/>
        </w:rPr>
      </w:pPr>
      <w:r>
        <w:rPr>
          <w:rFonts w:hint="eastAsia" w:eastAsia="方正仿宋_GBK"/>
          <w:sz w:val="32"/>
          <w:szCs w:val="32"/>
        </w:rPr>
        <w:t>3．提高气象服务保障水平</w:t>
      </w:r>
    </w:p>
    <w:p w14:paraId="776785EA">
      <w:pPr>
        <w:adjustRightInd w:val="0"/>
        <w:snapToGrid w:val="0"/>
        <w:spacing w:line="300" w:lineRule="auto"/>
        <w:ind w:firstLine="640" w:firstLineChars="200"/>
        <w:rPr>
          <w:rFonts w:eastAsia="方正仿宋_GBK"/>
          <w:sz w:val="32"/>
          <w:szCs w:val="32"/>
        </w:rPr>
      </w:pPr>
      <w:r>
        <w:rPr>
          <w:rFonts w:hint="eastAsia" w:eastAsia="方正仿宋_GBK"/>
          <w:sz w:val="32"/>
          <w:szCs w:val="32"/>
        </w:rPr>
        <w:t>建立智能研判、精准推送的普惠、多样化、适应需求的智慧气象服务业务，丰富产品种类，创新服务内容，改进服务形式，提高服务的覆盖面、影响力、满意度。完善气象信息共享和智慧气象服务平台，改进居民生活、健康、出行气象服务指数产品。发展基于互联网的公众气象服务需求热点自动感知技术，实现对象分众化、服务随行化、产品多元化。促进重点领域专业气象服务发展，发展行业安全保障气象服务技术。建立全媒体气象信息传播体系，完善全市气象服务融媒体矩阵，推动气象动态信息融入“我的南京”“智慧城市”建设，嵌入城乡“网格化”治理，实现主流媒体权威气象信息全接入。对接长三角区域发展气象保障行动，发挥南京气象在长三角区域一体化及南京都市圈气象协同观测、气象服务联动联防、保障经济社会发展中的作用。</w:t>
      </w:r>
    </w:p>
    <w:p w14:paraId="7E6691F5">
      <w:pPr>
        <w:adjustRightInd w:val="0"/>
        <w:snapToGrid w:val="0"/>
        <w:spacing w:line="300" w:lineRule="auto"/>
        <w:ind w:firstLine="640" w:firstLineChars="200"/>
        <w:rPr>
          <w:rFonts w:eastAsia="方正仿宋_GBK"/>
          <w:sz w:val="32"/>
          <w:szCs w:val="32"/>
        </w:rPr>
      </w:pPr>
      <w:r>
        <w:rPr>
          <w:rFonts w:hint="eastAsia" w:eastAsia="方正仿宋_GBK"/>
          <w:sz w:val="32"/>
          <w:szCs w:val="32"/>
        </w:rPr>
        <w:t>4．提高新一代信息技术应用水平</w:t>
      </w:r>
    </w:p>
    <w:p w14:paraId="639E73D3">
      <w:pPr>
        <w:adjustRightInd w:val="0"/>
        <w:snapToGrid w:val="0"/>
        <w:spacing w:line="300" w:lineRule="auto"/>
        <w:ind w:firstLine="640" w:firstLineChars="200"/>
        <w:rPr>
          <w:rFonts w:eastAsia="方正仿宋_GBK"/>
          <w:sz w:val="32"/>
          <w:szCs w:val="32"/>
        </w:rPr>
      </w:pPr>
      <w:r>
        <w:rPr>
          <w:rFonts w:hint="eastAsia" w:eastAsia="方正仿宋_GBK"/>
          <w:sz w:val="32"/>
          <w:szCs w:val="32"/>
        </w:rPr>
        <w:t>升级改造气象主干通信网络，促进气象专网与互联网安全高效对接。依托市电子政务云、大数据资源平台，充分利用云计算、大数据、物联网、5G等现代信息技术，构建城市安全运行气象信息保障系统。完善高性能计算系统、信息存储系统、数据共享融合系统，逐步构建“云+端”到“云+边缘计算”的气象数据业务，建立以虚拟化信息技术资源、云计算运行环境和大数据分析服务为特点的集约化信息网络业务，增强预报预警系统计算资源支撑、数据共享、应急备份能力。加强气象数据资源整理编目，制订气象信息产品共享目录，提升气象信息社会共享度。综合运用信息安全技术手段，完善覆盖气象业务内网、政务网所有硬件设施、主要业务软件网络安全实时监测监管平台和基础设施建设，建设重要设施、重要数据隔离备份区，提升气象数据可靠性和防篡改、可追溯能力，保障气象信息安全。</w:t>
      </w:r>
    </w:p>
    <w:p w14:paraId="29FAD511">
      <w:pPr>
        <w:adjustRightInd w:val="0"/>
        <w:snapToGrid w:val="0"/>
        <w:spacing w:line="300" w:lineRule="auto"/>
        <w:ind w:firstLine="640" w:firstLineChars="200"/>
        <w:rPr>
          <w:rFonts w:eastAsia="方正仿宋_GBK"/>
          <w:sz w:val="32"/>
          <w:szCs w:val="32"/>
        </w:rPr>
      </w:pPr>
      <w:r>
        <w:rPr>
          <w:rFonts w:hint="eastAsia" w:eastAsia="方正仿宋_GBK"/>
          <w:sz w:val="32"/>
          <w:szCs w:val="32"/>
        </w:rPr>
        <w:t>（四）坚持创新驱动和人才战略，全面提升气象科技水平</w:t>
      </w:r>
    </w:p>
    <w:p w14:paraId="0E9033C2">
      <w:pPr>
        <w:adjustRightInd w:val="0"/>
        <w:snapToGrid w:val="0"/>
        <w:spacing w:line="300" w:lineRule="auto"/>
        <w:ind w:firstLine="640" w:firstLineChars="200"/>
        <w:rPr>
          <w:rFonts w:eastAsia="方正仿宋_GBK"/>
          <w:sz w:val="32"/>
          <w:szCs w:val="32"/>
        </w:rPr>
      </w:pPr>
      <w:r>
        <w:rPr>
          <w:rFonts w:hint="eastAsia" w:eastAsia="方正仿宋_GBK"/>
          <w:sz w:val="32"/>
          <w:szCs w:val="32"/>
        </w:rPr>
        <w:t>1．加强气象监测与预报服务技术研究</w:t>
      </w:r>
    </w:p>
    <w:p w14:paraId="73E571A8">
      <w:pPr>
        <w:adjustRightInd w:val="0"/>
        <w:snapToGrid w:val="0"/>
        <w:spacing w:line="300" w:lineRule="auto"/>
        <w:ind w:firstLine="640" w:firstLineChars="200"/>
        <w:rPr>
          <w:rFonts w:eastAsia="方正仿宋_GBK"/>
          <w:sz w:val="32"/>
          <w:szCs w:val="32"/>
        </w:rPr>
      </w:pPr>
      <w:r>
        <w:rPr>
          <w:rFonts w:hint="eastAsia" w:eastAsia="方正仿宋_GBK"/>
          <w:sz w:val="32"/>
          <w:szCs w:val="32"/>
        </w:rPr>
        <w:t>围绕业务与服务需求，实现业务服务与科研的深度融合，提高气象科技创新技术研发应用水平和对业务发展的贡献度。研发和应用智能协同观测及多源资料融合实时分析、主客观预报最优融合等技术，全面支撑气象智能网格预报业务和精细化服务业务发展。研发台风、暴雨、强对流、暴雪等高影响天气以及重大气候事件、气候异常的客观化预报预测技术，开展基于人工智能分析技术的天气预报和气象灾害风险滚动预报技术研究，提升高影响天气预报服务水平。加强部门间科技创新合作，发展智能气象服务产品制作技术，研究气象条件对城市水电气调度、立体交通运行、大气污染防控、卫生健康、体育赛事等影响评估及风险预警技术，建立灾害性天气高影响行业气象敏感条件阈值体系。</w:t>
      </w:r>
    </w:p>
    <w:p w14:paraId="7AB87ED9">
      <w:pPr>
        <w:adjustRightInd w:val="0"/>
        <w:snapToGrid w:val="0"/>
        <w:spacing w:line="300" w:lineRule="auto"/>
        <w:ind w:firstLine="640" w:firstLineChars="200"/>
        <w:rPr>
          <w:rFonts w:eastAsia="方正仿宋_GBK"/>
          <w:sz w:val="32"/>
          <w:szCs w:val="32"/>
        </w:rPr>
      </w:pPr>
      <w:r>
        <w:rPr>
          <w:rFonts w:hint="eastAsia" w:eastAsia="方正仿宋_GBK"/>
          <w:sz w:val="32"/>
          <w:szCs w:val="32"/>
        </w:rPr>
        <w:t>2．支持建设具有国际影响力的科技创新平台</w:t>
      </w:r>
    </w:p>
    <w:p w14:paraId="76A36A0C">
      <w:pPr>
        <w:adjustRightInd w:val="0"/>
        <w:snapToGrid w:val="0"/>
        <w:spacing w:line="300" w:lineRule="auto"/>
        <w:ind w:firstLine="640" w:firstLineChars="200"/>
        <w:rPr>
          <w:rFonts w:eastAsia="方正仿宋_GBK"/>
          <w:sz w:val="32"/>
          <w:szCs w:val="32"/>
        </w:rPr>
      </w:pPr>
      <w:r>
        <w:rPr>
          <w:rFonts w:hint="eastAsia" w:eastAsia="方正仿宋_GBK"/>
          <w:sz w:val="32"/>
          <w:szCs w:val="32"/>
        </w:rPr>
        <w:t>落实《中国气象局  南京市人民政府共建南京气象科技创新研究院合作协议》，加大支持力度，推动建设学科特色明显、运行管理高效、体制机制创新的现代研究机构，构建全国领先、世界先进的气象科技研发中心和气象智能装备产业孵化基地。支持和参与国家、省重点开放实验室、野外气象科学试验在宁现场试验、中试试验。建设南京特大城市大气垂直廓线综合监测分析平台。充分发挥南京气象科技区位优势，加大与高校、科研机构以及应急、生态环境、规划和自然资源、水务、农业农村等部门的协同协作，鼓励气象装备、专业气象服务集约化、规模化发展和跨区域、跨层级的联动发展，打造南京气象“硅谷”，促进南京气象科技产业链、创新链发展壮大。</w:t>
      </w:r>
    </w:p>
    <w:p w14:paraId="26B40F79">
      <w:pPr>
        <w:adjustRightInd w:val="0"/>
        <w:snapToGrid w:val="0"/>
        <w:spacing w:line="300" w:lineRule="auto"/>
        <w:ind w:firstLine="640" w:firstLineChars="200"/>
        <w:rPr>
          <w:rFonts w:eastAsia="方正仿宋_GBK"/>
          <w:sz w:val="32"/>
          <w:szCs w:val="32"/>
        </w:rPr>
      </w:pPr>
      <w:r>
        <w:rPr>
          <w:rFonts w:hint="eastAsia" w:eastAsia="方正仿宋_GBK"/>
          <w:sz w:val="32"/>
          <w:szCs w:val="32"/>
        </w:rPr>
        <w:t>3．建设更高水平气象人才队伍</w:t>
      </w:r>
    </w:p>
    <w:p w14:paraId="73E9990C">
      <w:pPr>
        <w:adjustRightInd w:val="0"/>
        <w:snapToGrid w:val="0"/>
        <w:spacing w:line="300" w:lineRule="auto"/>
        <w:ind w:firstLine="640" w:firstLineChars="200"/>
        <w:rPr>
          <w:rFonts w:eastAsia="方正仿宋_GBK"/>
          <w:sz w:val="32"/>
          <w:szCs w:val="32"/>
        </w:rPr>
      </w:pPr>
      <w:r>
        <w:rPr>
          <w:rFonts w:hint="eastAsia" w:eastAsia="方正仿宋_GBK"/>
          <w:sz w:val="32"/>
          <w:szCs w:val="32"/>
        </w:rPr>
        <w:t>充分应用和依托南京气象教育及科技资源优势，以科技创新团队为主体，科技研发项目为载体，采用联合培养、协同创新等方式，加大气象人才引进和培养力度，争取各类人才计划，加快培养高水平、具有行业影响力的气象科技领军人才。多形式、多层次、多渠道开展培训工作，持续深化气象技术职称制度改革，优化事业单位岗位设置，强化聘用管理，培育基层气象预报服务首席专家和综合气象业务带头人，将气象人才队伍建设纳入市中青年拔尖人才选拔培养计划等人才工程以及各地人才培养项目。通过气象重点领域创新团队建设和“气象工匠”打造，集聚海内外优秀青年，培育本土人才，入选国家、省级气象高层次人才队伍人数增加，为南京气象高质量发展做好梯队式人才储备。</w:t>
      </w:r>
    </w:p>
    <w:p w14:paraId="71CFF721">
      <w:pPr>
        <w:adjustRightInd w:val="0"/>
        <w:snapToGrid w:val="0"/>
        <w:spacing w:line="300" w:lineRule="auto"/>
        <w:ind w:firstLine="640" w:firstLineChars="200"/>
        <w:rPr>
          <w:rFonts w:eastAsia="方正仿宋_GBK"/>
          <w:sz w:val="32"/>
          <w:szCs w:val="32"/>
        </w:rPr>
      </w:pPr>
      <w:r>
        <w:rPr>
          <w:rFonts w:hint="eastAsia" w:eastAsia="方正仿宋_GBK"/>
          <w:sz w:val="32"/>
          <w:szCs w:val="32"/>
        </w:rPr>
        <w:t>（五）推进气象科学管理，切实增强气象治理效能</w:t>
      </w:r>
    </w:p>
    <w:p w14:paraId="69F95259">
      <w:pPr>
        <w:adjustRightInd w:val="0"/>
        <w:snapToGrid w:val="0"/>
        <w:spacing w:line="300" w:lineRule="auto"/>
        <w:ind w:firstLine="640" w:firstLineChars="200"/>
        <w:rPr>
          <w:rFonts w:eastAsia="方正仿宋_GBK"/>
          <w:sz w:val="32"/>
          <w:szCs w:val="32"/>
        </w:rPr>
      </w:pPr>
      <w:r>
        <w:rPr>
          <w:rFonts w:hint="eastAsia" w:eastAsia="方正仿宋_GBK"/>
          <w:sz w:val="32"/>
          <w:szCs w:val="32"/>
        </w:rPr>
        <w:t>1．完善气象法律法规体系</w:t>
      </w:r>
    </w:p>
    <w:p w14:paraId="06A33F63">
      <w:pPr>
        <w:adjustRightInd w:val="0"/>
        <w:snapToGrid w:val="0"/>
        <w:spacing w:line="300" w:lineRule="auto"/>
        <w:ind w:firstLine="640" w:firstLineChars="200"/>
        <w:rPr>
          <w:rFonts w:eastAsia="方正仿宋_GBK"/>
          <w:sz w:val="32"/>
          <w:szCs w:val="32"/>
        </w:rPr>
      </w:pPr>
      <w:r>
        <w:rPr>
          <w:rFonts w:hint="eastAsia" w:eastAsia="方正仿宋_GBK"/>
          <w:sz w:val="32"/>
          <w:szCs w:val="32"/>
        </w:rPr>
        <w:t>进一步完善以《中华人民共和国气象法》为主体，与气象行政法规、部门规章、地方性气象法规相配套的地方政府规章和其他规范性文件，形成在我国现有气象法律法规体系框架之下，具有我市特色的气象法规体系。依据《中共中国气象局党组关于全面推进气象法治建设的意见》，适时推进气象相关法规规章、地方气象标准制修订，依法保障气象事业发展，把各级政府在气象现代化政策支持、财政保障等方面的责任制度化、法治化，把气象部门履行气象防灾减灾、应对气候变化、开发利用气候资源职能制度化、法治化，以法治思维和法治方式，把气象业务、服务和管理等各项工作纳入法治化轨道，不断深入贯彻全面依法治国要求，夯实依法履职基础，强化气象法治化建设。</w:t>
      </w:r>
    </w:p>
    <w:p w14:paraId="4AB3544B">
      <w:pPr>
        <w:adjustRightInd w:val="0"/>
        <w:snapToGrid w:val="0"/>
        <w:spacing w:line="300" w:lineRule="auto"/>
        <w:ind w:firstLine="640" w:firstLineChars="200"/>
        <w:rPr>
          <w:rFonts w:eastAsia="方正仿宋_GBK"/>
          <w:sz w:val="32"/>
          <w:szCs w:val="32"/>
        </w:rPr>
      </w:pPr>
      <w:r>
        <w:rPr>
          <w:rFonts w:hint="eastAsia" w:eastAsia="方正仿宋_GBK"/>
          <w:sz w:val="32"/>
          <w:szCs w:val="32"/>
        </w:rPr>
        <w:t>2．加强气象治理能力建设</w:t>
      </w:r>
    </w:p>
    <w:p w14:paraId="016F5CE3">
      <w:pPr>
        <w:adjustRightInd w:val="0"/>
        <w:snapToGrid w:val="0"/>
        <w:spacing w:line="300" w:lineRule="auto"/>
        <w:ind w:firstLine="640" w:firstLineChars="200"/>
        <w:rPr>
          <w:rFonts w:eastAsia="方正仿宋_GBK"/>
          <w:sz w:val="32"/>
          <w:szCs w:val="32"/>
        </w:rPr>
      </w:pPr>
      <w:r>
        <w:rPr>
          <w:rFonts w:hint="eastAsia" w:eastAsia="方正仿宋_GBK"/>
          <w:sz w:val="32"/>
          <w:szCs w:val="32"/>
        </w:rPr>
        <w:t>立足城市智能化、精细化治理要求，推进气象治理体系和治理能力现代化建设，全面落实气象法律法规规章、标准规范及气象预警信息发布等管理制度。开展气象法律法规执行落实情况检查评估和短板弱项整改。加强气象依法行政，完善重大行政决策机制，强化气象行政权力运行监督。创新气象管理模式，深化与市、区政府行政审批体系有机融合，完善气象政务服务事项一城通办。围绕城市气象灾害风险管理和社会管理，加强气象法制机构和队伍建设，提高气象执法水平。夯实基层基础工作，依托“互联网+监管”技术，大数据赋能气象服务，提高依法管理信息化水平。加强行业党建，推动党建与业务深度融合，为高质量发展提供坚强保证，加强气象文化建设，弘扬社会主义核心价值观和气象精神，提升文明创建质量和内涵。</w:t>
      </w:r>
    </w:p>
    <w:p w14:paraId="727B8563">
      <w:pPr>
        <w:adjustRightInd w:val="0"/>
        <w:snapToGrid w:val="0"/>
        <w:spacing w:line="300" w:lineRule="auto"/>
        <w:ind w:firstLine="640" w:firstLineChars="200"/>
        <w:rPr>
          <w:rFonts w:eastAsia="方正仿宋_GBK"/>
          <w:sz w:val="32"/>
          <w:szCs w:val="32"/>
        </w:rPr>
      </w:pPr>
      <w:r>
        <w:rPr>
          <w:rFonts w:hint="eastAsia" w:eastAsia="方正仿宋_GBK"/>
          <w:sz w:val="32"/>
          <w:szCs w:val="32"/>
        </w:rPr>
        <w:t>3．深化气象重点领域改革</w:t>
      </w:r>
    </w:p>
    <w:p w14:paraId="736FFECB">
      <w:pPr>
        <w:adjustRightInd w:val="0"/>
        <w:snapToGrid w:val="0"/>
        <w:spacing w:line="300" w:lineRule="auto"/>
        <w:ind w:firstLine="640" w:firstLineChars="200"/>
        <w:rPr>
          <w:rFonts w:eastAsia="方正仿宋_GBK"/>
          <w:sz w:val="32"/>
          <w:szCs w:val="32"/>
        </w:rPr>
      </w:pPr>
      <w:r>
        <w:rPr>
          <w:rFonts w:hint="eastAsia" w:eastAsia="方正仿宋_GBK"/>
          <w:sz w:val="32"/>
          <w:szCs w:val="32"/>
        </w:rPr>
        <w:t>继续推进气象服务供给侧结构性改革，有序开放专业气象服务市场，促进专业气象信息服务产业发展，形成多元化气象服务供给格局。继续将公共气象服务纳入全市基本公共服务标准化事权，提高智慧公共气象服务供给能力。深化气象业务科技体制改革，落实国家重大气象战略落地南京气象先行先试任务。推进基于新型业务体制下的流程与分工布局改革，适应现代信息技术发展和气象现代化发展。加强气象数据的归口管理，厘清气象数据管理及共享的职责边界。全面落实南京城市治理体系和治理能力建设任务，简政放权、放管结合、优化服务，推进气象治理创新，依法履职。建立气象服务、中介机构、企业气象事务信用体系，完善监督制度，实现事中事后监管常态化。加强和完善气象双重领导管理体制，进一步理顺未设气象机构的中心城区、江北新区气象工作机制。</w:t>
      </w:r>
    </w:p>
    <w:p w14:paraId="5B2DF521">
      <w:pPr>
        <w:adjustRightInd w:val="0"/>
        <w:snapToGrid w:val="0"/>
        <w:spacing w:line="300" w:lineRule="auto"/>
        <w:ind w:firstLine="640" w:firstLineChars="200"/>
        <w:rPr>
          <w:rFonts w:eastAsia="方正仿宋_GBK"/>
          <w:sz w:val="32"/>
          <w:szCs w:val="32"/>
        </w:rPr>
      </w:pPr>
      <w:r>
        <w:rPr>
          <w:rFonts w:hint="eastAsia" w:eastAsia="方正仿宋_GBK"/>
          <w:sz w:val="32"/>
          <w:szCs w:val="32"/>
        </w:rPr>
        <w:t>4．提高气象安全工作水平</w:t>
      </w:r>
    </w:p>
    <w:p w14:paraId="221AD439">
      <w:pPr>
        <w:adjustRightInd w:val="0"/>
        <w:snapToGrid w:val="0"/>
        <w:spacing w:line="300" w:lineRule="auto"/>
        <w:ind w:firstLine="640" w:firstLineChars="200"/>
        <w:rPr>
          <w:rFonts w:eastAsia="方正仿宋_GBK"/>
          <w:sz w:val="32"/>
          <w:szCs w:val="32"/>
        </w:rPr>
      </w:pPr>
      <w:r>
        <w:rPr>
          <w:rFonts w:hint="eastAsia" w:eastAsia="方正仿宋_GBK"/>
          <w:sz w:val="32"/>
          <w:szCs w:val="32"/>
        </w:rPr>
        <w:t>加强气象行业安全管理，严格落实安全防范措施和气象在城市安全发展中的职责任务，全面提升气象灾害综合监测、预报预警、风险识别、服务治理水平。深化防雷减灾体制改革，深入推进防雷公共服务能力建设，提升雷电灾害应急处置能力、防雷安全监管能力，进一步健全防雷安全政府领导责任、相关行业部门监管责任，压实生产经营单位主体责任。建立健全建设工程防雷安全行业管理工作协调会议制度。完善“互联网+监管”工作模式，建立防雷重点单位监管名录动态更新机制，全面落实防雷安全管理措施。推进防雷安全、气球施放等气象关联领域协同监管，强化“双随机一公开”和信用监管，把防雷安全信用管理纳入社会信用体系，建立完善黑名单制度、信用奖惩制度，开展联合惩戒。</w:t>
      </w:r>
    </w:p>
    <w:p w14:paraId="4D6E002D">
      <w:pPr>
        <w:adjustRightInd w:val="0"/>
        <w:snapToGrid w:val="0"/>
        <w:spacing w:line="300" w:lineRule="auto"/>
        <w:ind w:firstLine="640" w:firstLineChars="200"/>
        <w:rPr>
          <w:rFonts w:eastAsia="方正黑体_GBK"/>
          <w:sz w:val="32"/>
          <w:szCs w:val="32"/>
        </w:rPr>
      </w:pPr>
      <w:r>
        <w:rPr>
          <w:rFonts w:hint="eastAsia" w:eastAsia="方正黑体_GBK"/>
          <w:sz w:val="32"/>
          <w:szCs w:val="32"/>
        </w:rPr>
        <w:t>四、重点工程</w:t>
      </w:r>
    </w:p>
    <w:p w14:paraId="0B331A78">
      <w:pPr>
        <w:adjustRightInd w:val="0"/>
        <w:snapToGrid w:val="0"/>
        <w:spacing w:line="300" w:lineRule="auto"/>
        <w:ind w:firstLine="640" w:firstLineChars="200"/>
        <w:rPr>
          <w:rFonts w:eastAsia="方正仿宋_GBK"/>
          <w:sz w:val="32"/>
          <w:szCs w:val="32"/>
        </w:rPr>
      </w:pPr>
      <w:r>
        <w:rPr>
          <w:rFonts w:hint="eastAsia" w:eastAsia="方正仿宋_GBK"/>
          <w:sz w:val="32"/>
          <w:szCs w:val="32"/>
        </w:rPr>
        <w:t>围绕“创新名城、美丽古都”建设和推进气象事业高质量发展要求，结合未来五年发展战略需求和主要任务统筹规划，提出建设“气象监测精密感知”“气象预报精准智能”“气象服务精细随行”“气象防灾高效保障”四项重点工程，提高气象监测精密、预报精准、服务精细水平，充分发挥气象防灾减灾第一道防线作用，服务保障“强富美高”新南京建设，推动气象高质量发展。</w:t>
      </w:r>
    </w:p>
    <w:p w14:paraId="229BA949">
      <w:pPr>
        <w:adjustRightInd w:val="0"/>
        <w:snapToGrid w:val="0"/>
        <w:spacing w:line="300" w:lineRule="auto"/>
        <w:ind w:firstLine="640" w:firstLineChars="200"/>
        <w:rPr>
          <w:rFonts w:eastAsia="方正仿宋_GBK"/>
          <w:sz w:val="32"/>
          <w:szCs w:val="32"/>
        </w:rPr>
      </w:pPr>
      <w:r>
        <w:rPr>
          <w:rFonts w:hint="eastAsia" w:eastAsia="方正仿宋_GBK"/>
          <w:sz w:val="32"/>
          <w:szCs w:val="32"/>
        </w:rPr>
        <w:t>（一）气象监测精密感知工程</w:t>
      </w:r>
    </w:p>
    <w:p w14:paraId="21E162B1">
      <w:pPr>
        <w:adjustRightInd w:val="0"/>
        <w:snapToGrid w:val="0"/>
        <w:spacing w:line="300" w:lineRule="auto"/>
        <w:ind w:firstLine="640" w:firstLineChars="200"/>
        <w:rPr>
          <w:rFonts w:eastAsia="方正仿宋_GBK"/>
          <w:sz w:val="32"/>
          <w:szCs w:val="32"/>
        </w:rPr>
      </w:pPr>
      <w:r>
        <w:rPr>
          <w:rFonts w:hint="eastAsia" w:eastAsia="方正仿宋_GBK"/>
          <w:sz w:val="32"/>
          <w:szCs w:val="32"/>
        </w:rPr>
        <w:t>优化气象监测站网布局，应用北斗卫星导航定位、5G通信、人工智能遥感探测和大数据融合技术，构建智慧气象业务基础数据阵列，感知南京都市圈区域气候特征和气象要素演变，更加有效发挥气象观测对于预报服务的基础性支撑作用。</w:t>
      </w:r>
    </w:p>
    <w:p w14:paraId="5E6D9A77">
      <w:pPr>
        <w:adjustRightInd w:val="0"/>
        <w:snapToGrid w:val="0"/>
        <w:spacing w:line="300" w:lineRule="auto"/>
        <w:ind w:firstLine="640" w:firstLineChars="200"/>
        <w:rPr>
          <w:rFonts w:eastAsia="方正仿宋_GBK"/>
          <w:sz w:val="32"/>
          <w:szCs w:val="32"/>
        </w:rPr>
      </w:pPr>
      <w:r>
        <w:rPr>
          <w:rFonts w:hint="eastAsia" w:eastAsia="方正仿宋_GBK"/>
          <w:sz w:val="32"/>
          <w:szCs w:val="32"/>
        </w:rPr>
        <w:t>1．完善地面气象监测网</w:t>
      </w:r>
    </w:p>
    <w:p w14:paraId="6180DBEA">
      <w:pPr>
        <w:adjustRightInd w:val="0"/>
        <w:snapToGrid w:val="0"/>
        <w:spacing w:line="300" w:lineRule="auto"/>
        <w:ind w:firstLine="640" w:firstLineChars="200"/>
        <w:rPr>
          <w:rFonts w:eastAsia="方正仿宋_GBK"/>
          <w:sz w:val="32"/>
          <w:szCs w:val="32"/>
        </w:rPr>
      </w:pPr>
      <w:r>
        <w:rPr>
          <w:rFonts w:hint="eastAsia" w:eastAsia="方正仿宋_GBK"/>
          <w:sz w:val="32"/>
          <w:szCs w:val="32"/>
        </w:rPr>
        <w:t>升级改造2012年前建设的区域自动观测站，新增远程监控设备；更新国家气象站探测设备和软件，实现智能控制；建设地铁交通室外沿线的10米风温湿压等要素监测站，拓展地铁高架线路覆冰、能见度、大气电场强度监测；补充街道（镇）区域自动气象观测站；增加长江沿岸、固城湖湖面（岸）等航运交通气象监测站；在城市大型立交桥面、高架路面建设路面结冰、路面温度等传感设施；在主城各区增加积雪深度自动感知监测站；在代表性生态区、4A以上大型旅游景区、重要湿地区建设负氧离子、降水、风速等环境气象监测设备；实施公路交通气象监测站网智能化改造；增加布设利于空气污染溯源、通风廊道等环境领域的边界层风和太阳基本辐射分量观测，推动地表辐射趋势评估、大气化学过程分析以及太阳能资源开发利用。根据服务需求在农业“三区三园”、无人驾驶航空试验区建设农业气象观测站、低空飞行服务气象监测设施；按规定和需求完善主要气象探测设备备份；按标准化、规范化要求开展观测场地、场所升级改造；推进燕子矶梯度站危房改造；迁移高空探测L波段雷达，实施南京气象观测站场地加固整治。</w:t>
      </w:r>
    </w:p>
    <w:p w14:paraId="2EAA6C42">
      <w:pPr>
        <w:adjustRightInd w:val="0"/>
        <w:snapToGrid w:val="0"/>
        <w:spacing w:line="300" w:lineRule="auto"/>
        <w:ind w:firstLine="640" w:firstLineChars="200"/>
        <w:rPr>
          <w:rFonts w:eastAsia="方正仿宋_GBK"/>
          <w:sz w:val="32"/>
          <w:szCs w:val="32"/>
        </w:rPr>
      </w:pPr>
      <w:r>
        <w:rPr>
          <w:rFonts w:hint="eastAsia" w:eastAsia="方正仿宋_GBK"/>
          <w:sz w:val="32"/>
          <w:szCs w:val="32"/>
        </w:rPr>
        <w:t>2．完善城市大气垂直廓线观测系统</w:t>
      </w:r>
    </w:p>
    <w:p w14:paraId="43CAEB21">
      <w:pPr>
        <w:adjustRightInd w:val="0"/>
        <w:snapToGrid w:val="0"/>
        <w:spacing w:line="300" w:lineRule="auto"/>
        <w:ind w:firstLine="640" w:firstLineChars="200"/>
        <w:rPr>
          <w:rFonts w:eastAsia="方正仿宋_GBK"/>
          <w:sz w:val="32"/>
          <w:szCs w:val="32"/>
        </w:rPr>
      </w:pPr>
      <w:r>
        <w:rPr>
          <w:rFonts w:hint="eastAsia" w:eastAsia="方正仿宋_GBK"/>
          <w:sz w:val="32"/>
          <w:szCs w:val="32"/>
        </w:rPr>
        <w:t>建设基于北斗卫星导航定位测风体制的下一代探空系统和地基GNSS/MET水汽探测系统；升级南京、六合风廓线雷达，探测高度达到对流层中层；优化X波段双偏振天气雷达网，选点增建一部X波段双偏振天气雷达；建设1—2部相控阵天气雷达；优化S/C波段和X波段双偏振天气雷达协同观测技术，实现高时空分辨率及多雷达协同观测，提高全市中小尺度强对流天气精细化协同观测能力；在国家气象站补充增设毫米波云雷达、拉曼—米激光雷达及气溶胶、臭氧等垂直观测设备；完善全市雷电观测网；布设陆地生态系统碳汇监测设备，实施水碳通量、植被、物候等要素观测；在燕子矶气象梯度观测塔增设环境气象观测设备；更新升级温室气体观测站；对接长三角气象协同观测“一张网”，建设长江南京段主要港口和航道测雾、测风雷达；依托超高层建筑、通信铁塔、5G基站等智慧城市基础设施，加密布设微型气象观测设备，拓展边界层多要素监测范围。</w:t>
      </w:r>
    </w:p>
    <w:p w14:paraId="67FBEEAC">
      <w:pPr>
        <w:adjustRightInd w:val="0"/>
        <w:snapToGrid w:val="0"/>
        <w:spacing w:line="300" w:lineRule="auto"/>
        <w:ind w:firstLine="640" w:firstLineChars="200"/>
        <w:rPr>
          <w:rFonts w:eastAsia="方正仿宋_GBK"/>
          <w:sz w:val="32"/>
          <w:szCs w:val="32"/>
        </w:rPr>
      </w:pPr>
      <w:r>
        <w:rPr>
          <w:rFonts w:hint="eastAsia" w:eastAsia="方正仿宋_GBK"/>
          <w:sz w:val="32"/>
          <w:szCs w:val="32"/>
        </w:rPr>
        <w:t>3．建设气象大数据融合分析平台</w:t>
      </w:r>
    </w:p>
    <w:p w14:paraId="1D96DB38">
      <w:pPr>
        <w:adjustRightInd w:val="0"/>
        <w:snapToGrid w:val="0"/>
        <w:spacing w:line="300" w:lineRule="auto"/>
        <w:ind w:firstLine="640" w:firstLineChars="200"/>
        <w:rPr>
          <w:rFonts w:eastAsia="方正仿宋_GBK"/>
          <w:sz w:val="32"/>
          <w:szCs w:val="32"/>
        </w:rPr>
      </w:pPr>
      <w:r>
        <w:rPr>
          <w:rFonts w:hint="eastAsia" w:eastAsia="方正仿宋_GBK"/>
          <w:sz w:val="32"/>
          <w:szCs w:val="32"/>
        </w:rPr>
        <w:t>升级改造市—省、市—区气象主干通信网络，换代升级网络设施，建设满足发展的信息存储处理软硬件系统，畅通信息交流与共享，保障探测信息快速收集；优化数据采集和质控方案，建设新型探测数据库；采用智能判别等技术建设监测数据智能在线质控系统；融合应用智能感知、自动控制、自动报警技术，建设气象探测系统远程监控平台；建设风廓线雷达、微波辐射计、拉曼米激光雷达、X波段天气雷达等新型探测数据融合处理与应用平台；建设多源数据融合和历史数据时空降尺度再分析平台，实现全市分辨率达到百米级、5分钟动态更新的天气实况精细描述和灾害天气全息、全过程实时动态显示和实况数据集；建设市域基于多源卫星资料等信息的时间序列生态气象基础数据集。</w:t>
      </w:r>
    </w:p>
    <w:p w14:paraId="606EEAE6">
      <w:pPr>
        <w:adjustRightInd w:val="0"/>
        <w:snapToGrid w:val="0"/>
        <w:spacing w:line="300" w:lineRule="auto"/>
        <w:ind w:firstLine="640" w:firstLineChars="200"/>
        <w:rPr>
          <w:rFonts w:eastAsia="方正仿宋_GBK"/>
          <w:sz w:val="32"/>
          <w:szCs w:val="32"/>
        </w:rPr>
      </w:pPr>
      <w:r>
        <w:rPr>
          <w:rFonts w:hint="eastAsia" w:eastAsia="方正仿宋_GBK"/>
          <w:sz w:val="32"/>
          <w:szCs w:val="32"/>
        </w:rPr>
        <w:t>4．完善气象监测网络安全保障系统</w:t>
      </w:r>
    </w:p>
    <w:p w14:paraId="6B43FB1C">
      <w:pPr>
        <w:adjustRightInd w:val="0"/>
        <w:snapToGrid w:val="0"/>
        <w:spacing w:line="300" w:lineRule="auto"/>
        <w:ind w:firstLine="640" w:firstLineChars="200"/>
        <w:rPr>
          <w:rFonts w:eastAsia="方正仿宋_GBK"/>
          <w:sz w:val="32"/>
          <w:szCs w:val="32"/>
        </w:rPr>
      </w:pPr>
      <w:r>
        <w:rPr>
          <w:rFonts w:hint="eastAsia" w:eastAsia="方正仿宋_GBK"/>
          <w:sz w:val="32"/>
          <w:szCs w:val="32"/>
        </w:rPr>
        <w:t>在江宁建设市级气象信息灾备中心，提高灾备能力，为数据的及时恢复和业务系统应急运行做好保障；优先使用具有自主知识产权的计算机、服务器、计算机软件；换代升级市、区网络安全设施；对全市信息网络进行分区分域管理，实施内外网物理隔离，建立重要设施、重要数据隔离区；分步实施核心计算设备、服务器、网络设施和软件的国产化替代；建设完善全市一体化气象感知系统和网络安全监测监管综合业务平台，实现网络、设备问题提前预警，提升网络安全风险感知能力，保障气象信息安全和网络安全。</w:t>
      </w:r>
    </w:p>
    <w:p w14:paraId="0CE9EE50">
      <w:pPr>
        <w:adjustRightInd w:val="0"/>
        <w:snapToGrid w:val="0"/>
        <w:spacing w:line="300" w:lineRule="auto"/>
        <w:ind w:firstLine="640" w:firstLineChars="200"/>
        <w:rPr>
          <w:rFonts w:eastAsia="方正仿宋_GBK"/>
          <w:sz w:val="32"/>
          <w:szCs w:val="32"/>
        </w:rPr>
      </w:pPr>
      <w:r>
        <w:rPr>
          <w:rFonts w:hint="eastAsia" w:eastAsia="方正仿宋_GBK"/>
          <w:sz w:val="32"/>
          <w:szCs w:val="32"/>
        </w:rPr>
        <w:t>（二）气象预报精准智能工程</w:t>
      </w:r>
    </w:p>
    <w:p w14:paraId="716E2D3E">
      <w:pPr>
        <w:adjustRightInd w:val="0"/>
        <w:snapToGrid w:val="0"/>
        <w:spacing w:line="300" w:lineRule="auto"/>
        <w:ind w:firstLine="640" w:firstLineChars="200"/>
        <w:rPr>
          <w:rFonts w:eastAsia="方正仿宋_GBK"/>
          <w:sz w:val="32"/>
          <w:szCs w:val="32"/>
        </w:rPr>
      </w:pPr>
      <w:r>
        <w:rPr>
          <w:rFonts w:hint="eastAsia" w:eastAsia="方正仿宋_GBK"/>
          <w:sz w:val="32"/>
          <w:szCs w:val="32"/>
        </w:rPr>
        <w:t>融合应用大气科学经典理论和人工智能等现代技术，研发智能型、协同性、开放式的气象业务一体化平台，建立新一代无缝隙、全覆盖、精准化的气象预报预警业务，提高预报预测时空分辨率，延长预报预警时效，为城市安全发展提供更加精准的预报。</w:t>
      </w:r>
    </w:p>
    <w:p w14:paraId="1F768A85">
      <w:pPr>
        <w:adjustRightInd w:val="0"/>
        <w:snapToGrid w:val="0"/>
        <w:spacing w:line="300" w:lineRule="auto"/>
        <w:ind w:firstLine="640" w:firstLineChars="200"/>
        <w:rPr>
          <w:rFonts w:eastAsia="方正仿宋_GBK"/>
          <w:sz w:val="32"/>
          <w:szCs w:val="32"/>
        </w:rPr>
      </w:pPr>
      <w:r>
        <w:rPr>
          <w:rFonts w:hint="eastAsia" w:eastAsia="方正仿宋_GBK"/>
          <w:sz w:val="32"/>
          <w:szCs w:val="32"/>
        </w:rPr>
        <w:t>1．完善灾害性天气短临跟踪预警平台</w:t>
      </w:r>
    </w:p>
    <w:p w14:paraId="45633CFA">
      <w:pPr>
        <w:adjustRightInd w:val="0"/>
        <w:snapToGrid w:val="0"/>
        <w:spacing w:line="300" w:lineRule="auto"/>
        <w:ind w:firstLine="640" w:firstLineChars="200"/>
        <w:rPr>
          <w:rFonts w:eastAsia="方正仿宋_GBK"/>
          <w:sz w:val="32"/>
          <w:szCs w:val="32"/>
        </w:rPr>
      </w:pPr>
      <w:r>
        <w:rPr>
          <w:rFonts w:hint="eastAsia" w:eastAsia="方正仿宋_GBK"/>
          <w:sz w:val="32"/>
          <w:szCs w:val="32"/>
        </w:rPr>
        <w:t>增加建设风云气象卫星、高分系列卫星等多源卫星数据处理平台，业务化分析大气污染物、绿色植被、水体变化等遥感信息反演特征；开展雷达、微波、激光等新型观测资料的应用技术研究，形成灾害性天气特征阈值指标；升级强对流短临监测、突发暴雨人工智能预报预警、城市内涝积水深度仿真模拟、冬季积雪深度动态预测、重污染天气溯源与扩散分析等业务系统，整合集成灾害性天气短临跟踪预警平台，强化分类强对流自动跟踪预警功能。</w:t>
      </w:r>
    </w:p>
    <w:p w14:paraId="662985B3">
      <w:pPr>
        <w:adjustRightInd w:val="0"/>
        <w:snapToGrid w:val="0"/>
        <w:spacing w:line="300" w:lineRule="auto"/>
        <w:ind w:firstLine="640" w:firstLineChars="200"/>
        <w:rPr>
          <w:rFonts w:eastAsia="方正仿宋_GBK"/>
          <w:sz w:val="32"/>
          <w:szCs w:val="32"/>
        </w:rPr>
      </w:pPr>
      <w:r>
        <w:rPr>
          <w:rFonts w:hint="eastAsia" w:eastAsia="方正仿宋_GBK"/>
          <w:sz w:val="32"/>
          <w:szCs w:val="32"/>
        </w:rPr>
        <w:t>2．重构极端气候事件快速诊断系统</w:t>
      </w:r>
    </w:p>
    <w:p w14:paraId="3F71BCDF">
      <w:pPr>
        <w:adjustRightInd w:val="0"/>
        <w:snapToGrid w:val="0"/>
        <w:spacing w:line="300" w:lineRule="auto"/>
        <w:ind w:firstLine="640" w:firstLineChars="200"/>
        <w:rPr>
          <w:rFonts w:eastAsia="方正仿宋_GBK"/>
          <w:sz w:val="32"/>
          <w:szCs w:val="32"/>
        </w:rPr>
      </w:pPr>
      <w:r>
        <w:rPr>
          <w:rFonts w:hint="eastAsia" w:eastAsia="方正仿宋_GBK"/>
          <w:sz w:val="32"/>
          <w:szCs w:val="32"/>
        </w:rPr>
        <w:t>普查南京城市气象灾害，丰富历史灾害天气库，搜索关联因子，应用机器学习方法，快速重构天气概念模型，建设本地化灾害性天气监测、预报、预警系统和极端天气气候事件诊断系统，提升极端天气气候事件实时研判的能力；建立多源资料实时采集、融合分析平台，实现极端天气实况三维数字化可视化动态分析。</w:t>
      </w:r>
    </w:p>
    <w:p w14:paraId="3EEF1E4D">
      <w:pPr>
        <w:adjustRightInd w:val="0"/>
        <w:snapToGrid w:val="0"/>
        <w:spacing w:line="300" w:lineRule="auto"/>
        <w:ind w:firstLine="640" w:firstLineChars="200"/>
        <w:rPr>
          <w:rFonts w:eastAsia="方正仿宋_GBK"/>
          <w:sz w:val="32"/>
          <w:szCs w:val="32"/>
        </w:rPr>
      </w:pPr>
      <w:r>
        <w:rPr>
          <w:rFonts w:hint="eastAsia" w:eastAsia="方正仿宋_GBK"/>
          <w:sz w:val="32"/>
          <w:szCs w:val="32"/>
        </w:rPr>
        <w:t>3．建设智能网格预报产品检验平台</w:t>
      </w:r>
    </w:p>
    <w:p w14:paraId="7B41F7CD">
      <w:pPr>
        <w:adjustRightInd w:val="0"/>
        <w:snapToGrid w:val="0"/>
        <w:spacing w:line="300" w:lineRule="auto"/>
        <w:ind w:firstLine="640" w:firstLineChars="200"/>
        <w:rPr>
          <w:rFonts w:eastAsia="方正仿宋_GBK"/>
          <w:sz w:val="32"/>
          <w:szCs w:val="32"/>
        </w:rPr>
      </w:pPr>
      <w:r>
        <w:rPr>
          <w:rFonts w:hint="eastAsia" w:eastAsia="方正仿宋_GBK"/>
          <w:sz w:val="32"/>
          <w:szCs w:val="32"/>
        </w:rPr>
        <w:t>对接国家、省级智能网格预报检验技术，根据智能网格预报检验办法，完善智能网格客观预报、数值预报产品在市域预报结果与实况动态对比检验平台；建立全流程、全时效、全预报产品链精细化预报检验和误差反馈机制，提高预报产品订正和精准预报能力。</w:t>
      </w:r>
    </w:p>
    <w:p w14:paraId="53E5BB61">
      <w:pPr>
        <w:adjustRightInd w:val="0"/>
        <w:snapToGrid w:val="0"/>
        <w:spacing w:line="300" w:lineRule="auto"/>
        <w:ind w:firstLine="640" w:firstLineChars="200"/>
        <w:rPr>
          <w:rFonts w:eastAsia="方正仿宋_GBK"/>
          <w:sz w:val="32"/>
          <w:szCs w:val="32"/>
        </w:rPr>
      </w:pPr>
      <w:r>
        <w:rPr>
          <w:rFonts w:hint="eastAsia" w:eastAsia="方正仿宋_GBK"/>
          <w:sz w:val="32"/>
          <w:szCs w:val="32"/>
        </w:rPr>
        <w:t>4．升级南京智能网格精准预报平台</w:t>
      </w:r>
    </w:p>
    <w:p w14:paraId="2AC56DD2">
      <w:pPr>
        <w:adjustRightInd w:val="0"/>
        <w:snapToGrid w:val="0"/>
        <w:spacing w:line="300" w:lineRule="auto"/>
        <w:ind w:firstLine="640" w:firstLineChars="200"/>
        <w:rPr>
          <w:rFonts w:eastAsia="方正仿宋_GBK"/>
          <w:sz w:val="32"/>
          <w:szCs w:val="32"/>
        </w:rPr>
      </w:pPr>
      <w:r>
        <w:rPr>
          <w:rFonts w:hint="eastAsia" w:eastAsia="方正仿宋_GBK"/>
          <w:sz w:val="32"/>
          <w:szCs w:val="32"/>
        </w:rPr>
        <w:t>协同省级将气象综合分析与预报预警一体化平台升级至3.0版，满足精细化智能网格预报产品交互制作、检验评估、自动发布等业务需求；持续开展误差伴随订正和动力降尺度等统计预报、物理诊断方法研究，加强数值模式的本地化解释应用；建设多尺度、高影响灾害性天气气候客观化、概率化预报预测系统；建设南京智能网格预报的迭代升级系统，网格预报智能订正产品更新时间缩短至30分钟，网格格距细化为1公里，重点区域500米，可用预报时效到10天。</w:t>
      </w:r>
    </w:p>
    <w:p w14:paraId="119C7072">
      <w:pPr>
        <w:adjustRightInd w:val="0"/>
        <w:snapToGrid w:val="0"/>
        <w:spacing w:line="300" w:lineRule="auto"/>
        <w:ind w:firstLine="640" w:firstLineChars="200"/>
        <w:rPr>
          <w:rFonts w:eastAsia="方正仿宋_GBK"/>
          <w:sz w:val="32"/>
          <w:szCs w:val="32"/>
        </w:rPr>
      </w:pPr>
      <w:r>
        <w:rPr>
          <w:rFonts w:hint="eastAsia" w:eastAsia="方正仿宋_GBK"/>
          <w:sz w:val="32"/>
          <w:szCs w:val="32"/>
        </w:rPr>
        <w:t>（三）气象服务精细随行工程</w:t>
      </w:r>
    </w:p>
    <w:p w14:paraId="52544A90">
      <w:pPr>
        <w:adjustRightInd w:val="0"/>
        <w:snapToGrid w:val="0"/>
        <w:spacing w:line="300" w:lineRule="auto"/>
        <w:ind w:firstLine="640" w:firstLineChars="200"/>
        <w:rPr>
          <w:rFonts w:eastAsia="方正仿宋_GBK"/>
          <w:sz w:val="32"/>
          <w:szCs w:val="32"/>
        </w:rPr>
      </w:pPr>
      <w:r>
        <w:rPr>
          <w:rFonts w:hint="eastAsia" w:eastAsia="方正仿宋_GBK"/>
          <w:sz w:val="32"/>
          <w:szCs w:val="32"/>
        </w:rPr>
        <w:t>建立智能制作、精准供给、融合传播的智慧气象精细服务业务系统，保证各类气象信息快速精准推送，实现气象服务产品多元化，对象分众化，服务随行化，更好地服务经济社会发展和百姓安康。</w:t>
      </w:r>
    </w:p>
    <w:p w14:paraId="6EF759F8">
      <w:pPr>
        <w:adjustRightInd w:val="0"/>
        <w:snapToGrid w:val="0"/>
        <w:spacing w:line="300" w:lineRule="auto"/>
        <w:ind w:firstLine="640" w:firstLineChars="200"/>
        <w:rPr>
          <w:rFonts w:eastAsia="方正仿宋_GBK"/>
          <w:sz w:val="32"/>
          <w:szCs w:val="32"/>
        </w:rPr>
      </w:pPr>
      <w:r>
        <w:rPr>
          <w:rFonts w:hint="eastAsia" w:eastAsia="方正仿宋_GBK"/>
          <w:sz w:val="32"/>
          <w:szCs w:val="32"/>
        </w:rPr>
        <w:t>1．智能制作多元气象服务产品</w:t>
      </w:r>
    </w:p>
    <w:p w14:paraId="665204CB">
      <w:pPr>
        <w:adjustRightInd w:val="0"/>
        <w:snapToGrid w:val="0"/>
        <w:spacing w:line="300" w:lineRule="auto"/>
        <w:ind w:firstLine="640" w:firstLineChars="200"/>
        <w:rPr>
          <w:rFonts w:eastAsia="方正仿宋_GBK"/>
          <w:sz w:val="32"/>
          <w:szCs w:val="32"/>
        </w:rPr>
      </w:pPr>
      <w:r>
        <w:rPr>
          <w:rFonts w:hint="eastAsia" w:eastAsia="方正仿宋_GBK"/>
          <w:sz w:val="32"/>
          <w:szCs w:val="32"/>
        </w:rPr>
        <w:t>完善气象服务产品制作平台，拓展气象服务领域，创新服务内容和产品表现，制作应用于交通监管、地铁运营、水电气调度、全域旅游发展等重点领域的精细化气象服务产品，运用气象遥感监测信息、本地监测数据制作生态气象监测和风险预警影响评估产品，制作特色农业气象服务产品和生活气象指数产品；实施“中国天然氧吧”等特色气候品牌创建项目；引进应用新型技术优化天气视频会商系统和非线性节目编辑系统，改进视屏效果和气象影视节目产品质量，适应广播电视气象业务发展。</w:t>
      </w:r>
    </w:p>
    <w:p w14:paraId="25A12C8F">
      <w:pPr>
        <w:adjustRightInd w:val="0"/>
        <w:snapToGrid w:val="0"/>
        <w:spacing w:line="300" w:lineRule="auto"/>
        <w:ind w:firstLine="640" w:firstLineChars="200"/>
        <w:rPr>
          <w:rFonts w:eastAsia="方正仿宋_GBK"/>
          <w:sz w:val="32"/>
          <w:szCs w:val="32"/>
        </w:rPr>
      </w:pPr>
      <w:r>
        <w:rPr>
          <w:rFonts w:hint="eastAsia" w:eastAsia="方正仿宋_GBK"/>
          <w:sz w:val="32"/>
          <w:szCs w:val="32"/>
        </w:rPr>
        <w:t>2．完善气象服务信息供给</w:t>
      </w:r>
    </w:p>
    <w:p w14:paraId="5C18182E">
      <w:pPr>
        <w:adjustRightInd w:val="0"/>
        <w:snapToGrid w:val="0"/>
        <w:spacing w:line="300" w:lineRule="auto"/>
        <w:ind w:firstLine="640" w:firstLineChars="200"/>
        <w:rPr>
          <w:rFonts w:eastAsia="方正仿宋_GBK"/>
          <w:sz w:val="32"/>
          <w:szCs w:val="32"/>
        </w:rPr>
      </w:pPr>
      <w:r>
        <w:rPr>
          <w:rFonts w:hint="eastAsia" w:eastAsia="方正仿宋_GBK"/>
          <w:sz w:val="32"/>
          <w:szCs w:val="32"/>
        </w:rPr>
        <w:t>完善部门间、行业间信息互联互通，完善公共气象信息服务规范，扩大公共气象信息共享范围，保障气象大数据开放共享；研发完善与公众生活需要相适应的生活气象指数产品；应用公众气象服务需求热点自动感知技术手段，在“我的南京”APP接入“智慧气象”模块，实现天气实况即时显示、要素预报定位提供、生活指数适度感应，满足市民分众化、随行化气象服务需求；继续在综合防灾减灾示范社区、镇（街）、重要场所布设气象信息多媒体终端；建立二氧化碳、甲烷等温室气体质量浓度时空变化特征评估分析平台，开展动态评估。</w:t>
      </w:r>
    </w:p>
    <w:p w14:paraId="7BB4D3C7">
      <w:pPr>
        <w:adjustRightInd w:val="0"/>
        <w:snapToGrid w:val="0"/>
        <w:spacing w:line="300" w:lineRule="auto"/>
        <w:ind w:firstLine="640" w:firstLineChars="200"/>
        <w:rPr>
          <w:rFonts w:eastAsia="方正仿宋_GBK"/>
          <w:sz w:val="32"/>
          <w:szCs w:val="32"/>
        </w:rPr>
      </w:pPr>
      <w:r>
        <w:rPr>
          <w:rFonts w:hint="eastAsia" w:eastAsia="方正仿宋_GBK"/>
          <w:sz w:val="32"/>
          <w:szCs w:val="32"/>
        </w:rPr>
        <w:t>3．拓展气象信息传播渠道</w:t>
      </w:r>
    </w:p>
    <w:p w14:paraId="6E4C3688">
      <w:pPr>
        <w:adjustRightInd w:val="0"/>
        <w:snapToGrid w:val="0"/>
        <w:spacing w:line="300" w:lineRule="auto"/>
        <w:ind w:firstLine="640" w:firstLineChars="200"/>
        <w:rPr>
          <w:rFonts w:eastAsia="方正仿宋_GBK"/>
          <w:sz w:val="32"/>
          <w:szCs w:val="32"/>
        </w:rPr>
      </w:pPr>
      <w:r>
        <w:rPr>
          <w:rFonts w:hint="eastAsia" w:eastAsia="方正仿宋_GBK"/>
          <w:sz w:val="32"/>
          <w:szCs w:val="32"/>
        </w:rPr>
        <w:t>细化分解城乡气象服务需求，建立到街道（镇）、社区（村）、家庭、个人的气象服务“细胞单元”，扩展气象灾害防御知识和重大灾害性天气预警“绿色通道”；共享行业、企业、学校、社区等广播电视、多媒体显示终端，传播气象数据可视化产品；完善基于微博、微信、抖音号、头条号、紫金山新闻等气象服务融媒体矩阵平台，完善气象信息与应急广播接入平台，建立全媒体气象信息传播体系，实现主流媒体权威气象声音全接入。</w:t>
      </w:r>
    </w:p>
    <w:p w14:paraId="0413BD04">
      <w:pPr>
        <w:adjustRightInd w:val="0"/>
        <w:snapToGrid w:val="0"/>
        <w:spacing w:line="300" w:lineRule="auto"/>
        <w:ind w:firstLine="640" w:firstLineChars="200"/>
        <w:rPr>
          <w:rFonts w:eastAsia="方正仿宋_GBK"/>
          <w:sz w:val="32"/>
          <w:szCs w:val="32"/>
        </w:rPr>
      </w:pPr>
      <w:r>
        <w:rPr>
          <w:rFonts w:hint="eastAsia" w:eastAsia="方正仿宋_GBK"/>
          <w:sz w:val="32"/>
          <w:szCs w:val="32"/>
        </w:rPr>
        <w:t>4．完善乡村振兴气象服务</w:t>
      </w:r>
    </w:p>
    <w:p w14:paraId="2B6A7BF4">
      <w:pPr>
        <w:adjustRightInd w:val="0"/>
        <w:snapToGrid w:val="0"/>
        <w:spacing w:line="300" w:lineRule="auto"/>
        <w:ind w:firstLine="640" w:firstLineChars="200"/>
        <w:rPr>
          <w:rFonts w:eastAsia="方正仿宋_GBK"/>
          <w:sz w:val="32"/>
          <w:szCs w:val="32"/>
        </w:rPr>
      </w:pPr>
      <w:r>
        <w:rPr>
          <w:rFonts w:hint="eastAsia" w:eastAsia="方正仿宋_GBK"/>
          <w:sz w:val="32"/>
          <w:szCs w:val="32"/>
        </w:rPr>
        <w:t>推进现代农业气象信息技术示范应用，完善水稻、小麦、特色农业种养殖品种等关键农时气象条件预报服务产品体系，加强茶叶、果蔬等气象灾害影响因子分析，开展螃蟹、草莓、西瓜等气候品质评价，协同省级建设全国特色农业气象服务中心；优化农业气象信息服务渠道，升级农业气象服务系统，推进农业农村大数据、气象基础信息融合共享；完善全域旅游、重要景区气象信息显示服务系统；升级地面人影设备，更新人影作业车辆、弹药储存库和发射装置，增加增雨烟炉，提高人工增雨作业能力。</w:t>
      </w:r>
    </w:p>
    <w:p w14:paraId="23438FE9">
      <w:pPr>
        <w:adjustRightInd w:val="0"/>
        <w:snapToGrid w:val="0"/>
        <w:spacing w:line="300" w:lineRule="auto"/>
        <w:ind w:firstLine="640" w:firstLineChars="200"/>
        <w:rPr>
          <w:rFonts w:eastAsia="方正仿宋_GBK"/>
          <w:sz w:val="32"/>
          <w:szCs w:val="32"/>
        </w:rPr>
      </w:pPr>
      <w:r>
        <w:rPr>
          <w:rFonts w:hint="eastAsia" w:eastAsia="方正仿宋_GBK"/>
          <w:sz w:val="32"/>
          <w:szCs w:val="32"/>
        </w:rPr>
        <w:t>（四）气象防灾高效保障工程</w:t>
      </w:r>
    </w:p>
    <w:p w14:paraId="23C983A4">
      <w:pPr>
        <w:adjustRightInd w:val="0"/>
        <w:snapToGrid w:val="0"/>
        <w:spacing w:line="300" w:lineRule="auto"/>
        <w:ind w:firstLine="640" w:firstLineChars="200"/>
        <w:rPr>
          <w:rFonts w:eastAsia="方正仿宋_GBK"/>
          <w:sz w:val="32"/>
          <w:szCs w:val="32"/>
        </w:rPr>
      </w:pPr>
      <w:r>
        <w:rPr>
          <w:rFonts w:hint="eastAsia" w:eastAsia="方正仿宋_GBK"/>
          <w:sz w:val="32"/>
          <w:szCs w:val="32"/>
        </w:rPr>
        <w:t>开展气象灾害风险和隐患排查，在建立气象灾害风险库基础上进行气象灾害风险评估。加强气象灾害影响风险预警技术研究，普及气象灾害防御知识，建立安全高效的气象灾害防御网络。</w:t>
      </w:r>
    </w:p>
    <w:p w14:paraId="3A117BE2">
      <w:pPr>
        <w:adjustRightInd w:val="0"/>
        <w:snapToGrid w:val="0"/>
        <w:spacing w:line="300" w:lineRule="auto"/>
        <w:ind w:firstLine="640" w:firstLineChars="200"/>
        <w:rPr>
          <w:rFonts w:eastAsia="方正仿宋_GBK"/>
          <w:sz w:val="32"/>
          <w:szCs w:val="32"/>
        </w:rPr>
      </w:pPr>
      <w:r>
        <w:rPr>
          <w:rFonts w:hint="eastAsia" w:eastAsia="方正仿宋_GBK"/>
          <w:sz w:val="32"/>
          <w:szCs w:val="32"/>
        </w:rPr>
        <w:t>1．完善气象风险评估业务</w:t>
      </w:r>
    </w:p>
    <w:p w14:paraId="7C249791">
      <w:pPr>
        <w:adjustRightInd w:val="0"/>
        <w:snapToGrid w:val="0"/>
        <w:spacing w:line="300" w:lineRule="auto"/>
        <w:ind w:firstLine="640" w:firstLineChars="200"/>
        <w:rPr>
          <w:rFonts w:eastAsia="方正仿宋_GBK"/>
          <w:sz w:val="32"/>
          <w:szCs w:val="32"/>
        </w:rPr>
      </w:pPr>
      <w:r>
        <w:rPr>
          <w:rFonts w:hint="eastAsia" w:eastAsia="方正仿宋_GBK"/>
          <w:sz w:val="32"/>
          <w:szCs w:val="32"/>
        </w:rPr>
        <w:t>开展气象灾害风险调查和重点隐患排查工作；完善暴雨、暴雪、大风、高温等常见气象灾害及其次生、</w:t>
      </w:r>
      <w:r>
        <w:rPr>
          <w:rFonts w:hint="eastAsia" w:eastAsia="方正仿宋_GBK" w:cs="宋体"/>
          <w:sz w:val="32"/>
          <w:szCs w:val="32"/>
        </w:rPr>
        <w:t>洐</w:t>
      </w:r>
      <w:r>
        <w:rPr>
          <w:rFonts w:hint="eastAsia" w:eastAsia="方正仿宋_GBK" w:cs="方正仿宋简体"/>
          <w:sz w:val="32"/>
          <w:szCs w:val="32"/>
        </w:rPr>
        <w:t>生灾害风险要素信息库，建立气象灾害综合风险及气象防灾减灾数据集；结合承灾体分布及灾害性天气分布情况，开展气象灾害综合减灾资源调查和多尺度区域风险评估，绘制数字化气象灾害风险地图；建设气象灾害动态评估模型，建立灾害性天气影响动态评估业务。</w:t>
      </w:r>
    </w:p>
    <w:p w14:paraId="58362E49">
      <w:pPr>
        <w:adjustRightInd w:val="0"/>
        <w:snapToGrid w:val="0"/>
        <w:spacing w:line="300" w:lineRule="auto"/>
        <w:ind w:firstLine="640" w:firstLineChars="200"/>
        <w:rPr>
          <w:rFonts w:eastAsia="方正仿宋_GBK"/>
          <w:sz w:val="32"/>
          <w:szCs w:val="32"/>
        </w:rPr>
      </w:pPr>
      <w:r>
        <w:rPr>
          <w:rFonts w:hint="eastAsia" w:eastAsia="方正仿宋_GBK"/>
          <w:sz w:val="32"/>
          <w:szCs w:val="32"/>
        </w:rPr>
        <w:t>2．完善气象灾害影响风险预警业务</w:t>
      </w:r>
    </w:p>
    <w:p w14:paraId="25A42E95">
      <w:pPr>
        <w:adjustRightInd w:val="0"/>
        <w:snapToGrid w:val="0"/>
        <w:spacing w:line="300" w:lineRule="auto"/>
        <w:ind w:firstLine="640" w:firstLineChars="200"/>
        <w:rPr>
          <w:rFonts w:eastAsia="方正仿宋_GBK"/>
          <w:sz w:val="32"/>
          <w:szCs w:val="32"/>
        </w:rPr>
      </w:pPr>
      <w:r>
        <w:rPr>
          <w:rFonts w:hint="eastAsia" w:eastAsia="方正仿宋_GBK"/>
          <w:sz w:val="32"/>
          <w:szCs w:val="32"/>
        </w:rPr>
        <w:t>研究分析分灾种的气象灾害风险影响，归纳分行业气象高影响因子阈值，构建分灾种气象灾害风险评估方法和预警模型；完善城市积涝、地质灾害、大气污染等风险预报预警系统；建立精细化重点行业气象灾害影响风险预警与服务系统；建设南京都市圈上游灾害性天气预报预警等重要气象信息共享平台；推动气象灾害影响风险预警在轨道交通、城市防洪、电力调度、大气污染防治、森林防火、全域旅游等领域的应用，适时开展防灾减灾效益评估，提升综合防灾减灾气象决策服务能力。</w:t>
      </w:r>
    </w:p>
    <w:p w14:paraId="7EBFD4D5">
      <w:pPr>
        <w:adjustRightInd w:val="0"/>
        <w:snapToGrid w:val="0"/>
        <w:spacing w:line="300" w:lineRule="auto"/>
        <w:ind w:firstLine="640" w:firstLineChars="200"/>
        <w:rPr>
          <w:rFonts w:eastAsia="方正仿宋_GBK"/>
          <w:sz w:val="32"/>
          <w:szCs w:val="32"/>
        </w:rPr>
      </w:pPr>
      <w:r>
        <w:rPr>
          <w:rFonts w:hint="eastAsia" w:eastAsia="方正仿宋_GBK"/>
          <w:sz w:val="32"/>
          <w:szCs w:val="32"/>
        </w:rPr>
        <w:t>3．完善气象灾害防御服务平台</w:t>
      </w:r>
    </w:p>
    <w:p w14:paraId="6C9D6E01">
      <w:pPr>
        <w:adjustRightInd w:val="0"/>
        <w:snapToGrid w:val="0"/>
        <w:spacing w:line="300" w:lineRule="auto"/>
        <w:ind w:firstLine="640" w:firstLineChars="200"/>
        <w:rPr>
          <w:rFonts w:eastAsia="方正仿宋_GBK"/>
          <w:sz w:val="32"/>
          <w:szCs w:val="32"/>
        </w:rPr>
      </w:pPr>
      <w:r>
        <w:rPr>
          <w:rFonts w:hint="eastAsia" w:eastAsia="方正仿宋_GBK"/>
          <w:sz w:val="32"/>
          <w:szCs w:val="32"/>
        </w:rPr>
        <w:t>升级重大气象灾害应急演练平台，开展多部门联合演练；建设完善多部门应用、多手段共享的新一代突发公共事件预警信息发布平台，实现预警信息秒级靶向发布；拓展发布渠道，完善面向社区网格员、气象灾害防御基层责任人和重点人群的气象预警信息发布平台，完善直通式气象信息发布系统，提高预警信息覆盖率；建立市级防雷安全监管平台，督促易燃易爆企业履行主体责任，提升雷击灾害防御水平；更新建设市级气象应急移动服务综合保障系统，建立具有现场气象监测、数据收集处理、预报预警、指挥调度与服务应急功能的移动气象台，提升防灾减灾、应急救助气象现场服务能力。</w:t>
      </w:r>
    </w:p>
    <w:p w14:paraId="0FD9F712">
      <w:pPr>
        <w:adjustRightInd w:val="0"/>
        <w:snapToGrid w:val="0"/>
        <w:spacing w:line="300" w:lineRule="auto"/>
        <w:ind w:firstLine="640" w:firstLineChars="200"/>
        <w:rPr>
          <w:rFonts w:eastAsia="方正仿宋_GBK"/>
          <w:sz w:val="32"/>
          <w:szCs w:val="32"/>
        </w:rPr>
      </w:pPr>
      <w:r>
        <w:rPr>
          <w:rFonts w:hint="eastAsia" w:eastAsia="方正仿宋_GBK"/>
          <w:sz w:val="32"/>
          <w:szCs w:val="32"/>
        </w:rPr>
        <w:t>4．完善气象灾害防御科普体系</w:t>
      </w:r>
    </w:p>
    <w:p w14:paraId="62C7B3FB">
      <w:pPr>
        <w:adjustRightInd w:val="0"/>
        <w:snapToGrid w:val="0"/>
        <w:spacing w:line="300" w:lineRule="auto"/>
        <w:ind w:firstLine="640" w:firstLineChars="200"/>
        <w:rPr>
          <w:rFonts w:eastAsia="方正仿宋_GBK"/>
          <w:sz w:val="32"/>
          <w:szCs w:val="32"/>
        </w:rPr>
      </w:pPr>
      <w:r>
        <w:rPr>
          <w:rFonts w:hint="eastAsia" w:eastAsia="方正仿宋_GBK"/>
          <w:sz w:val="32"/>
          <w:szCs w:val="32"/>
        </w:rPr>
        <w:t>建设南京气象百年台站站史馆；充分应用市区两级科普平台，开展网上网下并举、虚实同构的气象科普活动；开展基层气象科普场馆升级改造；联合建设升级六合气象科普馆为综合防灾减灾馆；建设网上数字气象科普馆；根据需求利用雷达站、社区服务中心、学校等资源建设野外、校园、社区特色科普吧（室）；打造特色气象科普示范园，建设省级科普基地、国家级气象科普基地；编制具有南京气象灾害防御特点的气象科普书籍、手册及影像作品，丰富科普形式和内容；建设一支高素质气象科普讲解员队伍；持续开展气象科普进入中小学校园，确保每个学生接受一次科普教育，实现气象防灾减灾科普宣传的广覆盖。</w:t>
      </w:r>
    </w:p>
    <w:p w14:paraId="5DB79F6F">
      <w:pPr>
        <w:adjustRightInd w:val="0"/>
        <w:snapToGrid w:val="0"/>
        <w:spacing w:line="300" w:lineRule="auto"/>
        <w:ind w:firstLine="640" w:firstLineChars="200"/>
        <w:rPr>
          <w:rFonts w:eastAsia="方正黑体_GBK"/>
          <w:sz w:val="32"/>
          <w:szCs w:val="32"/>
        </w:rPr>
      </w:pPr>
      <w:r>
        <w:rPr>
          <w:rFonts w:hint="eastAsia" w:eastAsia="方正黑体_GBK"/>
          <w:sz w:val="32"/>
          <w:szCs w:val="32"/>
        </w:rPr>
        <w:t>五、保障措施</w:t>
      </w:r>
    </w:p>
    <w:p w14:paraId="0C71D0A1">
      <w:pPr>
        <w:adjustRightInd w:val="0"/>
        <w:snapToGrid w:val="0"/>
        <w:spacing w:line="300" w:lineRule="auto"/>
        <w:ind w:firstLine="640" w:firstLineChars="200"/>
        <w:rPr>
          <w:rFonts w:eastAsia="方正仿宋_GBK"/>
          <w:sz w:val="32"/>
          <w:szCs w:val="32"/>
        </w:rPr>
      </w:pPr>
      <w:r>
        <w:rPr>
          <w:rFonts w:hint="eastAsia" w:eastAsia="方正仿宋_GBK"/>
          <w:sz w:val="32"/>
          <w:szCs w:val="32"/>
        </w:rPr>
        <w:t>（一）加强组织领导</w:t>
      </w:r>
    </w:p>
    <w:p w14:paraId="046C20ED">
      <w:pPr>
        <w:adjustRightInd w:val="0"/>
        <w:snapToGrid w:val="0"/>
        <w:spacing w:line="300" w:lineRule="auto"/>
        <w:ind w:firstLine="640" w:firstLineChars="200"/>
        <w:rPr>
          <w:rFonts w:eastAsia="方正仿宋_GBK"/>
          <w:sz w:val="32"/>
          <w:szCs w:val="32"/>
        </w:rPr>
      </w:pPr>
      <w:r>
        <w:rPr>
          <w:rFonts w:hint="eastAsia" w:eastAsia="方正仿宋_GBK"/>
          <w:sz w:val="32"/>
          <w:szCs w:val="32"/>
        </w:rPr>
        <w:t>坚持党的全面领导，把贯彻落实习近平总书记关于气象工作的重要指示精神和党中央决策部署作为检验做到“两个维护”的标尺，充分发挥党总揽全局、协调各方的作用。各级政府要加强对气象工作的组织领导，结合高质量发展走在前列的需求和气象防灾减灾实际，将气象工作纳入政府工作计划，科学部署，落实规划责任和主要任务。气象部门要科学制定实施方案，将规划目标任务、重点工程分解纳入年度工作计划，统筹推进实施，确保规划目标、指标任务落细落地落实。</w:t>
      </w:r>
    </w:p>
    <w:p w14:paraId="33553B25">
      <w:pPr>
        <w:adjustRightInd w:val="0"/>
        <w:snapToGrid w:val="0"/>
        <w:spacing w:line="300" w:lineRule="auto"/>
        <w:ind w:firstLine="640" w:firstLineChars="200"/>
        <w:rPr>
          <w:rFonts w:eastAsia="方正仿宋_GBK"/>
          <w:sz w:val="32"/>
          <w:szCs w:val="32"/>
        </w:rPr>
      </w:pPr>
      <w:r>
        <w:rPr>
          <w:rFonts w:hint="eastAsia" w:eastAsia="方正仿宋_GBK"/>
          <w:sz w:val="32"/>
          <w:szCs w:val="32"/>
        </w:rPr>
        <w:t>（二）加强协同协作</w:t>
      </w:r>
    </w:p>
    <w:p w14:paraId="7C5791D4">
      <w:pPr>
        <w:adjustRightInd w:val="0"/>
        <w:snapToGrid w:val="0"/>
        <w:spacing w:line="300" w:lineRule="auto"/>
        <w:ind w:firstLine="640" w:firstLineChars="200"/>
        <w:rPr>
          <w:rFonts w:eastAsia="方正仿宋_GBK"/>
          <w:sz w:val="32"/>
          <w:szCs w:val="32"/>
        </w:rPr>
      </w:pPr>
      <w:r>
        <w:rPr>
          <w:rFonts w:hint="eastAsia" w:eastAsia="方正仿宋_GBK"/>
          <w:sz w:val="32"/>
          <w:szCs w:val="32"/>
        </w:rPr>
        <w:t>气象事业是基础性公益事业，公共气象服务是政府公共服务的重要组成部分。有关部门要加强协作，认真落实加快气象事业高质量发展的政策措施，加强政策支持，创新部门间合作共建共享、协同发展机制和合作模式，双向赋能落实好本级本地区实施任务。要加大对气象事业发展的资金投入力度，将气象事业所需经费纳入各级政府财政预算，在可持续的投入保障基础上，进一步探索符合气象工作特点的各级财政投入保障机制，在全省发挥示范引领作用。</w:t>
      </w:r>
    </w:p>
    <w:p w14:paraId="443382B4">
      <w:pPr>
        <w:adjustRightInd w:val="0"/>
        <w:snapToGrid w:val="0"/>
        <w:spacing w:line="300" w:lineRule="auto"/>
        <w:ind w:firstLine="640" w:firstLineChars="200"/>
        <w:rPr>
          <w:rFonts w:eastAsia="方正仿宋_GBK"/>
          <w:sz w:val="32"/>
          <w:szCs w:val="32"/>
        </w:rPr>
      </w:pPr>
      <w:r>
        <w:rPr>
          <w:rFonts w:hint="eastAsia" w:eastAsia="方正仿宋_GBK"/>
          <w:sz w:val="32"/>
          <w:szCs w:val="32"/>
        </w:rPr>
        <w:t>（三）加强监督评估</w:t>
      </w:r>
    </w:p>
    <w:p w14:paraId="2D08071B">
      <w:pPr>
        <w:adjustRightInd w:val="0"/>
        <w:snapToGrid w:val="0"/>
        <w:spacing w:line="300" w:lineRule="auto"/>
        <w:ind w:firstLine="640" w:firstLineChars="200"/>
        <w:rPr>
          <w:rFonts w:eastAsia="方正仿宋_GBK"/>
          <w:sz w:val="32"/>
          <w:szCs w:val="32"/>
        </w:rPr>
      </w:pPr>
      <w:r>
        <w:rPr>
          <w:rFonts w:hint="eastAsia" w:eastAsia="方正仿宋_GBK"/>
          <w:sz w:val="32"/>
          <w:szCs w:val="32"/>
        </w:rPr>
        <w:t>加强规划实施情况动态管理，严格重点工程项目及设备采购、验收程序，严格建设质量管理，坚持厉行节约，合理控制成本，提高建设效益。各级气象部门会同发改、财政等有关部门加强对规划实施情况的跟踪分析、监督检查，组织开展规划实施情况的定期评估与重点工程项目投入资金的绩效考评，自觉接受人大、审计和社会监督，鼓励公众积极参与规划实施情况监督。要根据年度进度监测分析、中期评估、总结评估情况及时发现问题短板，确保工作进度和市域气象工作一体推进。</w:t>
      </w:r>
    </w:p>
    <w:p w14:paraId="6F487E3E">
      <w:pPr>
        <w:adjustRightInd w:val="0"/>
        <w:snapToGrid w:val="0"/>
        <w:spacing w:line="300" w:lineRule="auto"/>
        <w:ind w:firstLine="640" w:firstLineChars="200"/>
        <w:rPr>
          <w:rFonts w:eastAsia="方正仿宋_GBK"/>
          <w:sz w:val="32"/>
          <w:szCs w:val="32"/>
        </w:rPr>
      </w:pPr>
      <w:r>
        <w:rPr>
          <w:rFonts w:hint="eastAsia" w:eastAsia="方正仿宋_GBK"/>
          <w:sz w:val="32"/>
          <w:szCs w:val="32"/>
        </w:rPr>
        <w:t>（四）推进开放合作</w:t>
      </w:r>
    </w:p>
    <w:p w14:paraId="22C58556">
      <w:pPr>
        <w:adjustRightInd w:val="0"/>
        <w:snapToGrid w:val="0"/>
        <w:spacing w:line="300" w:lineRule="auto"/>
        <w:ind w:firstLine="640" w:firstLineChars="200"/>
        <w:rPr>
          <w:rFonts w:eastAsia="方正仿宋_GBK"/>
          <w:sz w:val="32"/>
          <w:szCs w:val="32"/>
        </w:rPr>
      </w:pPr>
      <w:r>
        <w:rPr>
          <w:rFonts w:hint="eastAsia" w:eastAsia="方正仿宋_GBK"/>
          <w:sz w:val="32"/>
          <w:szCs w:val="32"/>
        </w:rPr>
        <w:t>积极有为加强市域区域间、部门间合作，继续加强与在宁院校、国家及省级业务科研单位合作，拓展合作领域，提升合作层次，吸收国内外先进技术，协同提升气象科技创新能力。发挥相关部门及社会资源作用，完善气象设施、气象探测环境和气象信息共建、共保、共享机制。支持社会资源参与气象关键领域核心技术创新攻关，共同推进气象多元化服务，促进规划实施高水平、高起点，为全市经济社会高质量发展走在前列提供更加有力保障，作出气象贡献。</w:t>
      </w:r>
    </w:p>
    <w:p w14:paraId="1353BB6A">
      <w:pPr>
        <w:adjustRightInd w:val="0"/>
        <w:snapToGrid w:val="0"/>
        <w:spacing w:line="269" w:lineRule="auto"/>
        <w:rPr>
          <w:rFonts w:eastAsia="方正仿宋_GBK"/>
          <w:sz w:val="32"/>
          <w:szCs w:val="32"/>
        </w:rPr>
      </w:pPr>
      <w:r>
        <w:rPr>
          <w:rFonts w:eastAsia="方正仿宋_GBK"/>
          <w:sz w:val="32"/>
          <w:szCs w:val="32"/>
        </w:rPr>
        <w:br w:type="page"/>
      </w:r>
    </w:p>
    <w:p w14:paraId="6F58D4A7">
      <w:pPr>
        <w:adjustRightInd w:val="0"/>
        <w:snapToGrid w:val="0"/>
        <w:spacing w:line="269" w:lineRule="auto"/>
        <w:rPr>
          <w:rFonts w:eastAsia="方正仿宋_GBK"/>
          <w:sz w:val="32"/>
          <w:szCs w:val="32"/>
        </w:rPr>
      </w:pPr>
    </w:p>
    <w:p w14:paraId="1F4DAF49">
      <w:pPr>
        <w:adjustRightInd w:val="0"/>
        <w:snapToGrid w:val="0"/>
        <w:spacing w:line="269" w:lineRule="auto"/>
        <w:rPr>
          <w:rFonts w:eastAsia="方正仿宋_GBK"/>
          <w:sz w:val="32"/>
          <w:szCs w:val="32"/>
        </w:rPr>
      </w:pPr>
    </w:p>
    <w:p w14:paraId="7BAC5C09">
      <w:pPr>
        <w:adjustRightInd w:val="0"/>
        <w:snapToGrid w:val="0"/>
        <w:spacing w:line="269" w:lineRule="auto"/>
        <w:rPr>
          <w:rFonts w:eastAsia="方正仿宋_GBK"/>
          <w:sz w:val="32"/>
          <w:szCs w:val="32"/>
        </w:rPr>
      </w:pPr>
    </w:p>
    <w:p w14:paraId="125321D3">
      <w:pPr>
        <w:adjustRightInd w:val="0"/>
        <w:snapToGrid w:val="0"/>
        <w:spacing w:line="269" w:lineRule="auto"/>
        <w:rPr>
          <w:rFonts w:eastAsia="方正仿宋_GBK"/>
          <w:sz w:val="32"/>
          <w:szCs w:val="32"/>
        </w:rPr>
      </w:pPr>
    </w:p>
    <w:p w14:paraId="7A2ED396">
      <w:pPr>
        <w:adjustRightInd w:val="0"/>
        <w:snapToGrid w:val="0"/>
        <w:spacing w:line="269" w:lineRule="auto"/>
        <w:rPr>
          <w:rFonts w:eastAsia="方正仿宋_GBK"/>
          <w:sz w:val="32"/>
          <w:szCs w:val="32"/>
        </w:rPr>
      </w:pPr>
    </w:p>
    <w:p w14:paraId="0B8E68F3">
      <w:pPr>
        <w:adjustRightInd w:val="0"/>
        <w:snapToGrid w:val="0"/>
        <w:spacing w:line="269" w:lineRule="auto"/>
        <w:rPr>
          <w:rFonts w:eastAsia="方正仿宋_GBK"/>
          <w:sz w:val="32"/>
          <w:szCs w:val="32"/>
        </w:rPr>
      </w:pPr>
    </w:p>
    <w:p w14:paraId="0864D7ED">
      <w:pPr>
        <w:adjustRightInd w:val="0"/>
        <w:snapToGrid w:val="0"/>
        <w:spacing w:line="269" w:lineRule="auto"/>
        <w:rPr>
          <w:rFonts w:eastAsia="方正仿宋_GBK"/>
          <w:sz w:val="32"/>
          <w:szCs w:val="32"/>
        </w:rPr>
      </w:pPr>
    </w:p>
    <w:p w14:paraId="1E8B0918">
      <w:pPr>
        <w:adjustRightInd w:val="0"/>
        <w:snapToGrid w:val="0"/>
        <w:spacing w:line="269" w:lineRule="auto"/>
        <w:rPr>
          <w:rFonts w:eastAsia="方正仿宋_GBK"/>
          <w:sz w:val="32"/>
          <w:szCs w:val="32"/>
        </w:rPr>
      </w:pPr>
    </w:p>
    <w:p w14:paraId="79BB4A7B">
      <w:pPr>
        <w:adjustRightInd w:val="0"/>
        <w:snapToGrid w:val="0"/>
        <w:spacing w:line="269" w:lineRule="auto"/>
        <w:rPr>
          <w:rFonts w:eastAsia="方正仿宋_GBK"/>
          <w:sz w:val="32"/>
          <w:szCs w:val="32"/>
        </w:rPr>
      </w:pPr>
    </w:p>
    <w:p w14:paraId="439E2EDA">
      <w:pPr>
        <w:adjustRightInd w:val="0"/>
        <w:snapToGrid w:val="0"/>
        <w:spacing w:line="269" w:lineRule="auto"/>
        <w:rPr>
          <w:rFonts w:eastAsia="方正仿宋_GBK"/>
          <w:sz w:val="32"/>
          <w:szCs w:val="32"/>
        </w:rPr>
      </w:pPr>
    </w:p>
    <w:p w14:paraId="004D72E6">
      <w:pPr>
        <w:adjustRightInd w:val="0"/>
        <w:snapToGrid w:val="0"/>
        <w:spacing w:line="269" w:lineRule="auto"/>
        <w:rPr>
          <w:rFonts w:eastAsia="方正仿宋_GBK"/>
          <w:sz w:val="32"/>
          <w:szCs w:val="32"/>
        </w:rPr>
      </w:pPr>
    </w:p>
    <w:p w14:paraId="08759ED5">
      <w:pPr>
        <w:adjustRightInd w:val="0"/>
        <w:snapToGrid w:val="0"/>
        <w:spacing w:line="269" w:lineRule="auto"/>
        <w:rPr>
          <w:rFonts w:eastAsia="方正仿宋_GBK"/>
          <w:sz w:val="32"/>
          <w:szCs w:val="32"/>
        </w:rPr>
      </w:pPr>
    </w:p>
    <w:p w14:paraId="66BCE716">
      <w:pPr>
        <w:adjustRightInd w:val="0"/>
        <w:snapToGrid w:val="0"/>
        <w:spacing w:line="269" w:lineRule="auto"/>
        <w:rPr>
          <w:rFonts w:eastAsia="方正仿宋_GBK"/>
          <w:sz w:val="32"/>
          <w:szCs w:val="32"/>
        </w:rPr>
      </w:pPr>
    </w:p>
    <w:p w14:paraId="3BCB45FE">
      <w:pPr>
        <w:adjustRightInd w:val="0"/>
        <w:snapToGrid w:val="0"/>
        <w:spacing w:line="269" w:lineRule="auto"/>
        <w:rPr>
          <w:rFonts w:eastAsia="方正仿宋_GBK"/>
          <w:sz w:val="32"/>
          <w:szCs w:val="32"/>
        </w:rPr>
      </w:pPr>
    </w:p>
    <w:p w14:paraId="1A5BBE64">
      <w:pPr>
        <w:adjustRightInd w:val="0"/>
        <w:snapToGrid w:val="0"/>
        <w:spacing w:line="269" w:lineRule="auto"/>
        <w:rPr>
          <w:rFonts w:eastAsia="方正仿宋_GBK"/>
          <w:sz w:val="32"/>
          <w:szCs w:val="32"/>
        </w:rPr>
      </w:pPr>
    </w:p>
    <w:p w14:paraId="3ABDE3AB">
      <w:pPr>
        <w:adjustRightInd w:val="0"/>
        <w:snapToGrid w:val="0"/>
        <w:spacing w:line="269" w:lineRule="auto"/>
        <w:rPr>
          <w:rFonts w:eastAsia="方正仿宋_GBK"/>
          <w:sz w:val="32"/>
          <w:szCs w:val="32"/>
        </w:rPr>
      </w:pPr>
    </w:p>
    <w:p w14:paraId="4FDEBADD">
      <w:pPr>
        <w:adjustRightInd w:val="0"/>
        <w:snapToGrid w:val="0"/>
        <w:spacing w:line="269" w:lineRule="auto"/>
        <w:rPr>
          <w:rFonts w:eastAsia="方正仿宋_GBK"/>
          <w:sz w:val="32"/>
          <w:szCs w:val="32"/>
        </w:rPr>
      </w:pPr>
    </w:p>
    <w:p w14:paraId="0A812CC8">
      <w:pPr>
        <w:adjustRightInd w:val="0"/>
        <w:snapToGrid w:val="0"/>
        <w:spacing w:line="269" w:lineRule="auto"/>
        <w:rPr>
          <w:rFonts w:eastAsia="方正仿宋_GBK"/>
          <w:sz w:val="32"/>
          <w:szCs w:val="32"/>
        </w:rPr>
      </w:pPr>
    </w:p>
    <w:p w14:paraId="67B69D24">
      <w:pPr>
        <w:adjustRightInd w:val="0"/>
        <w:snapToGrid w:val="0"/>
        <w:spacing w:line="269" w:lineRule="auto"/>
        <w:rPr>
          <w:rFonts w:eastAsia="方正仿宋_GBK"/>
          <w:sz w:val="32"/>
          <w:szCs w:val="32"/>
        </w:rPr>
      </w:pPr>
    </w:p>
    <w:p w14:paraId="4880C74C">
      <w:pPr>
        <w:adjustRightInd w:val="0"/>
        <w:snapToGrid w:val="0"/>
        <w:spacing w:line="269" w:lineRule="auto"/>
        <w:rPr>
          <w:rFonts w:eastAsia="方正仿宋_GBK"/>
          <w:sz w:val="32"/>
          <w:szCs w:val="32"/>
        </w:rPr>
      </w:pPr>
    </w:p>
    <w:p w14:paraId="278C7505">
      <w:pPr>
        <w:adjustRightInd w:val="0"/>
        <w:snapToGrid w:val="0"/>
        <w:spacing w:line="269" w:lineRule="auto"/>
        <w:rPr>
          <w:rFonts w:eastAsia="方正仿宋_GBK"/>
          <w:sz w:val="32"/>
          <w:szCs w:val="32"/>
        </w:rPr>
      </w:pPr>
    </w:p>
    <w:p w14:paraId="7E7ECCF4">
      <w:pPr>
        <w:adjustRightInd w:val="0"/>
        <w:snapToGrid w:val="0"/>
        <w:spacing w:line="269" w:lineRule="auto"/>
        <w:rPr>
          <w:rFonts w:eastAsia="方正仿宋_GBK"/>
          <w:sz w:val="32"/>
          <w:szCs w:val="32"/>
        </w:rPr>
      </w:pPr>
    </w:p>
    <w:p w14:paraId="290C1187">
      <w:pPr>
        <w:adjustRightInd w:val="0"/>
        <w:snapToGrid w:val="0"/>
        <w:spacing w:line="269" w:lineRule="auto"/>
        <w:rPr>
          <w:rFonts w:eastAsia="方正仿宋_GBK"/>
          <w:sz w:val="32"/>
          <w:szCs w:val="32"/>
        </w:rPr>
      </w:pPr>
    </w:p>
    <w:p w14:paraId="040DF494">
      <w:pPr>
        <w:adjustRightInd w:val="0"/>
        <w:snapToGrid w:val="0"/>
        <w:spacing w:line="269" w:lineRule="auto"/>
        <w:rPr>
          <w:rFonts w:eastAsia="方正仿宋_GBK"/>
          <w:sz w:val="32"/>
          <w:szCs w:val="32"/>
        </w:rPr>
      </w:pPr>
    </w:p>
    <w:p w14:paraId="3E635135">
      <w:pPr>
        <w:adjustRightInd w:val="0"/>
        <w:snapToGrid w:val="0"/>
        <w:spacing w:line="269" w:lineRule="auto"/>
        <w:rPr>
          <w:rFonts w:eastAsia="方正仿宋_GBK"/>
          <w:sz w:val="32"/>
          <w:szCs w:val="32"/>
        </w:rPr>
      </w:pPr>
    </w:p>
    <w:p w14:paraId="568EF03E">
      <w:pPr>
        <w:adjustRightInd w:val="0"/>
        <w:snapToGrid w:val="0"/>
        <w:spacing w:line="269" w:lineRule="auto"/>
        <w:rPr>
          <w:rFonts w:eastAsia="方正仿宋_GBK"/>
          <w:sz w:val="32"/>
          <w:szCs w:val="32"/>
        </w:rPr>
      </w:pPr>
    </w:p>
    <w:p w14:paraId="28441EE3">
      <w:pPr>
        <w:spacing w:line="288" w:lineRule="auto"/>
        <w:rPr>
          <w:rFonts w:eastAsia="方正仿宋_GBK"/>
          <w:sz w:val="24"/>
          <w:szCs w:val="24"/>
        </w:rPr>
      </w:pPr>
      <w:r>
        <w:rPr>
          <w:rFonts w:eastAsia="方正仿宋_GBK"/>
          <w:sz w:val="24"/>
          <w:szCs w:val="24"/>
        </w:rPr>
        <w:pict>
          <v:line id="_x0000_s4901" o:spid="_x0000_s4901" o:spt="20" style="position:absolute;left:0pt;margin-left:-1.75pt;margin-top:13.6pt;height:0pt;width:438.75pt;z-index:251659264;mso-width-relative:page;mso-height-relative:page;" coordsize="21600,21600">
            <v:path arrowok="t"/>
            <v:fill focussize="0,0"/>
            <v:stroke weight="1pt"/>
            <v:imagedata o:title=""/>
            <o:lock v:ext="edit"/>
          </v:line>
        </w:pict>
      </w:r>
    </w:p>
    <w:p w14:paraId="5B0267AE">
      <w:pPr>
        <w:pStyle w:val="26"/>
        <w:ind w:left="1087" w:leftChars="105" w:right="372" w:rightChars="124" w:hanging="772" w:hangingChars="276"/>
        <w:rPr>
          <w:rFonts w:eastAsia="方正仿宋_GBK"/>
          <w:szCs w:val="32"/>
        </w:rPr>
      </w:pPr>
      <w:r>
        <w:rPr>
          <w:rFonts w:eastAsia="方正仿宋_GBK"/>
          <w:szCs w:val="32"/>
        </w:rPr>
        <w:pict>
          <v:line id="_x0000_s4903" o:spid="_x0000_s4903" o:spt="20" style="position:absolute;left:0pt;margin-left:-0.65pt;margin-top:47.05pt;height:0pt;width:438.75pt;z-index:251660288;mso-width-relative:page;mso-height-relative:page;" coordsize="21600,21600">
            <v:path arrowok="t"/>
            <v:fill focussize="0,0"/>
            <v:stroke weight="0.5pt"/>
            <v:imagedata o:title=""/>
            <o:lock v:ext="edit"/>
          </v:line>
        </w:pict>
      </w:r>
      <w:r>
        <w:rPr>
          <w:rFonts w:hint="eastAsia" w:eastAsia="方正仿宋_GBK"/>
          <w:szCs w:val="32"/>
        </w:rPr>
        <w:t>抄送：市委各部门，市人大常委会办公厅，市政协办公厅，市法院，市检察院，南京警备区。</w:t>
      </w:r>
    </w:p>
    <w:p w14:paraId="13A538E3">
      <w:pPr>
        <w:pStyle w:val="26"/>
        <w:ind w:left="300" w:leftChars="100" w:right="300" w:rightChars="100" w:firstLine="0"/>
        <w:rPr>
          <w:rFonts w:ascii="方正仿宋_GBK" w:eastAsia="方正仿宋_GBK"/>
        </w:rPr>
      </w:pPr>
      <w:r>
        <w:rPr>
          <w:rFonts w:ascii="方正仿宋_GBK" w:eastAsia="方正仿宋_GBK"/>
        </w:rPr>
        <w:pict>
          <v:line id="_x0000_s4902" o:spid="_x0000_s4902" o:spt="20" style="position:absolute;left:0pt;margin-left:-1.85pt;margin-top:23.5pt;height:0pt;width:438.75pt;z-index:251660288;mso-width-relative:page;mso-height-relative:page;" coordsize="21600,21600">
            <v:path arrowok="t"/>
            <v:fill focussize="0,0"/>
            <v:stroke weight="1pt"/>
            <v:imagedata o:title=""/>
            <o:lock v:ext="edit"/>
          </v:line>
        </w:pict>
      </w:r>
      <w:r>
        <w:rPr>
          <w:rFonts w:hint="eastAsia" w:ascii="方正仿宋_GBK" w:eastAsia="方正仿宋_GBK"/>
        </w:rPr>
        <w:t>南京市人民政府办公厅                   2021年9月8日印发</w:t>
      </w:r>
    </w:p>
    <w:sectPr>
      <w:footerReference r:id="rId3" w:type="default"/>
      <w:footerReference r:id="rId4" w:type="even"/>
      <w:pgSz w:w="11907" w:h="16840"/>
      <w:pgMar w:top="2098" w:right="1588" w:bottom="1701" w:left="1588" w:header="851" w:footer="1247" w:gutter="0"/>
      <w:cols w:space="425"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roman"/>
    <w:pitch w:val="default"/>
    <w:sig w:usb0="FFFFFFFF" w:usb1="E9FFFFFF" w:usb2="0000003F" w:usb3="00000000" w:csb0="603F01FF" w:csb1="FFFF0000"/>
  </w:font>
  <w:font w:name="方正黑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00004FF"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roman"/>
    <w:pitch w:val="default"/>
    <w:sig w:usb0="80000287" w:usb1="2ACF3C50" w:usb2="00000016" w:usb3="00000000" w:csb0="0004001F" w:csb1="00000000"/>
  </w:font>
  <w:font w:name="汉鼎简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
    <w:altName w:val="Arial Unicode MS"/>
    <w:panose1 w:val="00000000000000000000"/>
    <w:charset w:val="00"/>
    <w:family w:val="auto"/>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0" w:usb3="00000000" w:csb0="00100000" w:csb1="00000000"/>
  </w:font>
  <w:font w:name="細明體">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0A93C">
    <w:pPr>
      <w:pStyle w:val="28"/>
      <w:wordWrap w:val="0"/>
      <w:jc w:val="right"/>
      <w:rPr>
        <w:sz w:val="28"/>
        <w:szCs w:val="28"/>
      </w:rPr>
    </w:pPr>
    <w:r>
      <w:rPr>
        <w:rFonts w:hint="eastAsia"/>
        <w:sz w:val="28"/>
        <w:szCs w:val="28"/>
      </w:rPr>
      <w:t xml:space="preserve">— </w:t>
    </w:r>
    <w:r>
      <w:rPr>
        <w:rStyle w:val="45"/>
        <w:sz w:val="28"/>
        <w:szCs w:val="28"/>
      </w:rPr>
      <w:fldChar w:fldCharType="begin"/>
    </w:r>
    <w:r>
      <w:rPr>
        <w:rStyle w:val="45"/>
        <w:sz w:val="28"/>
        <w:szCs w:val="28"/>
      </w:rPr>
      <w:instrText xml:space="preserve"> PAGE </w:instrText>
    </w:r>
    <w:r>
      <w:rPr>
        <w:rStyle w:val="45"/>
        <w:sz w:val="28"/>
        <w:szCs w:val="28"/>
      </w:rPr>
      <w:fldChar w:fldCharType="separate"/>
    </w:r>
    <w:r>
      <w:rPr>
        <w:rStyle w:val="45"/>
        <w:sz w:val="28"/>
        <w:szCs w:val="28"/>
      </w:rPr>
      <w:t>1</w:t>
    </w:r>
    <w:r>
      <w:rPr>
        <w:rStyle w:val="45"/>
        <w:sz w:val="28"/>
        <w:szCs w:val="28"/>
      </w:rPr>
      <w:fldChar w:fldCharType="end"/>
    </w:r>
    <w:r>
      <w:rPr>
        <w:rFonts w:hint="eastAsia"/>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9862A">
    <w:pPr>
      <w:pStyle w:val="28"/>
      <w:ind w:firstLine="280" w:firstLineChars="100"/>
      <w:rPr>
        <w:sz w:val="28"/>
        <w:szCs w:val="28"/>
      </w:rPr>
    </w:pPr>
    <w:r>
      <w:rPr>
        <w:rFonts w:hint="eastAsia"/>
        <w:sz w:val="28"/>
        <w:szCs w:val="28"/>
      </w:rPr>
      <w:t xml:space="preserve">— </w:t>
    </w:r>
    <w:r>
      <w:rPr>
        <w:rStyle w:val="45"/>
        <w:sz w:val="28"/>
        <w:szCs w:val="28"/>
      </w:rPr>
      <w:fldChar w:fldCharType="begin"/>
    </w:r>
    <w:r>
      <w:rPr>
        <w:rStyle w:val="45"/>
        <w:sz w:val="28"/>
        <w:szCs w:val="28"/>
      </w:rPr>
      <w:instrText xml:space="preserve"> PAGE </w:instrText>
    </w:r>
    <w:r>
      <w:rPr>
        <w:rStyle w:val="45"/>
        <w:sz w:val="28"/>
        <w:szCs w:val="28"/>
      </w:rPr>
      <w:fldChar w:fldCharType="separate"/>
    </w:r>
    <w:r>
      <w:rPr>
        <w:rStyle w:val="45"/>
        <w:sz w:val="28"/>
        <w:szCs w:val="28"/>
      </w:rPr>
      <w:t>40</w:t>
    </w:r>
    <w:r>
      <w:rPr>
        <w:rStyle w:val="45"/>
        <w:sz w:val="28"/>
        <w:szCs w:val="28"/>
      </w:rPr>
      <w:fldChar w:fldCharType="end"/>
    </w:r>
    <w:r>
      <w:rPr>
        <w:rFonts w:hint="eastAsia"/>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451560"/>
    <w:multiLevelType w:val="multilevel"/>
    <w:tmpl w:val="07451560"/>
    <w:lvl w:ilvl="0" w:tentative="0">
      <w:start w:val="1"/>
      <w:numFmt w:val="upperLetter"/>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DE70A2C"/>
    <w:multiLevelType w:val="multilevel"/>
    <w:tmpl w:val="3DE70A2C"/>
    <w:lvl w:ilvl="0" w:tentative="0">
      <w:start w:val="1"/>
      <w:numFmt w:val="upperLetter"/>
      <w:pStyle w:val="7"/>
      <w:lvlText w:val="%1、"/>
      <w:lvlJc w:val="left"/>
      <w:pPr>
        <w:tabs>
          <w:tab w:val="left" w:pos="1360"/>
        </w:tabs>
        <w:ind w:left="1360" w:hanging="720"/>
      </w:pPr>
      <w:rPr>
        <w:rFonts w:hint="eastAsia"/>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documentProtection w:enforcement="0"/>
  <w:defaultTabStop w:val="420"/>
  <w:evenAndOddHeaders w:val="1"/>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7EF3"/>
    <w:rsid w:val="0000182D"/>
    <w:rsid w:val="00004128"/>
    <w:rsid w:val="00005F92"/>
    <w:rsid w:val="00011E36"/>
    <w:rsid w:val="00012B75"/>
    <w:rsid w:val="0001396F"/>
    <w:rsid w:val="00013D15"/>
    <w:rsid w:val="000144C4"/>
    <w:rsid w:val="000218EE"/>
    <w:rsid w:val="000257D8"/>
    <w:rsid w:val="000313DE"/>
    <w:rsid w:val="00034C03"/>
    <w:rsid w:val="00035680"/>
    <w:rsid w:val="00035D91"/>
    <w:rsid w:val="00037A4A"/>
    <w:rsid w:val="000466EF"/>
    <w:rsid w:val="0005095F"/>
    <w:rsid w:val="0005293F"/>
    <w:rsid w:val="000538BB"/>
    <w:rsid w:val="0005640B"/>
    <w:rsid w:val="0006240F"/>
    <w:rsid w:val="00062AB7"/>
    <w:rsid w:val="000703A1"/>
    <w:rsid w:val="00076055"/>
    <w:rsid w:val="000806F3"/>
    <w:rsid w:val="00090EFE"/>
    <w:rsid w:val="00092965"/>
    <w:rsid w:val="00095C9E"/>
    <w:rsid w:val="000A32C5"/>
    <w:rsid w:val="000A4FCD"/>
    <w:rsid w:val="000A5225"/>
    <w:rsid w:val="000B4753"/>
    <w:rsid w:val="000B4FD1"/>
    <w:rsid w:val="000B6557"/>
    <w:rsid w:val="000B6BAF"/>
    <w:rsid w:val="000C3432"/>
    <w:rsid w:val="000D185B"/>
    <w:rsid w:val="000D3B95"/>
    <w:rsid w:val="000E145E"/>
    <w:rsid w:val="000F3F10"/>
    <w:rsid w:val="000F7F4D"/>
    <w:rsid w:val="00102DFD"/>
    <w:rsid w:val="00103692"/>
    <w:rsid w:val="00107EE1"/>
    <w:rsid w:val="0011185F"/>
    <w:rsid w:val="001120FF"/>
    <w:rsid w:val="001133AB"/>
    <w:rsid w:val="00117FA5"/>
    <w:rsid w:val="00123DD1"/>
    <w:rsid w:val="00124886"/>
    <w:rsid w:val="00124D38"/>
    <w:rsid w:val="0012524E"/>
    <w:rsid w:val="001262CE"/>
    <w:rsid w:val="00130F09"/>
    <w:rsid w:val="001339CF"/>
    <w:rsid w:val="001344A7"/>
    <w:rsid w:val="00134ADD"/>
    <w:rsid w:val="00135C4F"/>
    <w:rsid w:val="001377E4"/>
    <w:rsid w:val="00137E06"/>
    <w:rsid w:val="001405CB"/>
    <w:rsid w:val="00144633"/>
    <w:rsid w:val="00145D90"/>
    <w:rsid w:val="001478E9"/>
    <w:rsid w:val="00160EAA"/>
    <w:rsid w:val="0016201C"/>
    <w:rsid w:val="00164580"/>
    <w:rsid w:val="00170677"/>
    <w:rsid w:val="00171344"/>
    <w:rsid w:val="00182914"/>
    <w:rsid w:val="00186BA8"/>
    <w:rsid w:val="001901DA"/>
    <w:rsid w:val="00192523"/>
    <w:rsid w:val="001A11A1"/>
    <w:rsid w:val="001A60A9"/>
    <w:rsid w:val="001B17A1"/>
    <w:rsid w:val="001B34AD"/>
    <w:rsid w:val="001B4E67"/>
    <w:rsid w:val="001C4881"/>
    <w:rsid w:val="001C57C2"/>
    <w:rsid w:val="001C694E"/>
    <w:rsid w:val="001D2565"/>
    <w:rsid w:val="001D41E9"/>
    <w:rsid w:val="001E1EE0"/>
    <w:rsid w:val="001E66F8"/>
    <w:rsid w:val="001F0DEE"/>
    <w:rsid w:val="001F51BF"/>
    <w:rsid w:val="001F5D46"/>
    <w:rsid w:val="002011D5"/>
    <w:rsid w:val="00207C3B"/>
    <w:rsid w:val="002110F9"/>
    <w:rsid w:val="00214F6E"/>
    <w:rsid w:val="00217626"/>
    <w:rsid w:val="00220A21"/>
    <w:rsid w:val="00221A94"/>
    <w:rsid w:val="00222873"/>
    <w:rsid w:val="00224BDD"/>
    <w:rsid w:val="0022715E"/>
    <w:rsid w:val="002345AE"/>
    <w:rsid w:val="00243FD0"/>
    <w:rsid w:val="00255150"/>
    <w:rsid w:val="0029112B"/>
    <w:rsid w:val="002A0D79"/>
    <w:rsid w:val="002A2A8F"/>
    <w:rsid w:val="002B22B3"/>
    <w:rsid w:val="002C12D8"/>
    <w:rsid w:val="002C15CA"/>
    <w:rsid w:val="002C1E7E"/>
    <w:rsid w:val="002C4FE5"/>
    <w:rsid w:val="002C669D"/>
    <w:rsid w:val="002E212E"/>
    <w:rsid w:val="002E7295"/>
    <w:rsid w:val="002F0AAE"/>
    <w:rsid w:val="002F0F7C"/>
    <w:rsid w:val="002F1310"/>
    <w:rsid w:val="002F1DDD"/>
    <w:rsid w:val="002F6BD7"/>
    <w:rsid w:val="003020ED"/>
    <w:rsid w:val="0030679B"/>
    <w:rsid w:val="00310805"/>
    <w:rsid w:val="00311DF6"/>
    <w:rsid w:val="003167F6"/>
    <w:rsid w:val="00316CAF"/>
    <w:rsid w:val="003173D7"/>
    <w:rsid w:val="0032032E"/>
    <w:rsid w:val="00321666"/>
    <w:rsid w:val="00332F61"/>
    <w:rsid w:val="00333E8D"/>
    <w:rsid w:val="003373E0"/>
    <w:rsid w:val="003405B9"/>
    <w:rsid w:val="003442E5"/>
    <w:rsid w:val="003453BE"/>
    <w:rsid w:val="00345F98"/>
    <w:rsid w:val="0034682C"/>
    <w:rsid w:val="00350086"/>
    <w:rsid w:val="00351868"/>
    <w:rsid w:val="00355FA2"/>
    <w:rsid w:val="003566B2"/>
    <w:rsid w:val="0035787A"/>
    <w:rsid w:val="00360A03"/>
    <w:rsid w:val="00362757"/>
    <w:rsid w:val="003633F3"/>
    <w:rsid w:val="003648D6"/>
    <w:rsid w:val="00367383"/>
    <w:rsid w:val="00374965"/>
    <w:rsid w:val="00377C1B"/>
    <w:rsid w:val="00382EBE"/>
    <w:rsid w:val="003854BD"/>
    <w:rsid w:val="0038697F"/>
    <w:rsid w:val="00387E56"/>
    <w:rsid w:val="003911A2"/>
    <w:rsid w:val="00395C35"/>
    <w:rsid w:val="00397B0C"/>
    <w:rsid w:val="003A6096"/>
    <w:rsid w:val="003A7CD1"/>
    <w:rsid w:val="003B0476"/>
    <w:rsid w:val="003B1720"/>
    <w:rsid w:val="003B21F2"/>
    <w:rsid w:val="003B29C0"/>
    <w:rsid w:val="003B5312"/>
    <w:rsid w:val="003B5BA8"/>
    <w:rsid w:val="003C1CE0"/>
    <w:rsid w:val="003C3587"/>
    <w:rsid w:val="003C4F16"/>
    <w:rsid w:val="003D1F0D"/>
    <w:rsid w:val="003D5012"/>
    <w:rsid w:val="003D51D9"/>
    <w:rsid w:val="003E0C9B"/>
    <w:rsid w:val="003E518C"/>
    <w:rsid w:val="003E62D8"/>
    <w:rsid w:val="003F055B"/>
    <w:rsid w:val="004061F4"/>
    <w:rsid w:val="00420265"/>
    <w:rsid w:val="0042448D"/>
    <w:rsid w:val="00427AB9"/>
    <w:rsid w:val="00433801"/>
    <w:rsid w:val="00433F3B"/>
    <w:rsid w:val="00436B06"/>
    <w:rsid w:val="00437333"/>
    <w:rsid w:val="0044356D"/>
    <w:rsid w:val="00446977"/>
    <w:rsid w:val="004514D1"/>
    <w:rsid w:val="00457891"/>
    <w:rsid w:val="00460852"/>
    <w:rsid w:val="00460CD1"/>
    <w:rsid w:val="00464091"/>
    <w:rsid w:val="00464981"/>
    <w:rsid w:val="00467B3E"/>
    <w:rsid w:val="00467EDD"/>
    <w:rsid w:val="00476169"/>
    <w:rsid w:val="0048639C"/>
    <w:rsid w:val="004904C4"/>
    <w:rsid w:val="004967EF"/>
    <w:rsid w:val="004A22BD"/>
    <w:rsid w:val="004A5233"/>
    <w:rsid w:val="004A75FB"/>
    <w:rsid w:val="004B3A31"/>
    <w:rsid w:val="004C7995"/>
    <w:rsid w:val="004D4DAA"/>
    <w:rsid w:val="004D58A9"/>
    <w:rsid w:val="004E0590"/>
    <w:rsid w:val="004E0C35"/>
    <w:rsid w:val="004E2445"/>
    <w:rsid w:val="004E3AB7"/>
    <w:rsid w:val="004E5BBE"/>
    <w:rsid w:val="004E7768"/>
    <w:rsid w:val="004F2358"/>
    <w:rsid w:val="004F3EB0"/>
    <w:rsid w:val="00502196"/>
    <w:rsid w:val="00505C15"/>
    <w:rsid w:val="005069C0"/>
    <w:rsid w:val="005105AE"/>
    <w:rsid w:val="00523BAA"/>
    <w:rsid w:val="00535799"/>
    <w:rsid w:val="0054087E"/>
    <w:rsid w:val="00543347"/>
    <w:rsid w:val="00545762"/>
    <w:rsid w:val="00550C97"/>
    <w:rsid w:val="0055300D"/>
    <w:rsid w:val="005560E9"/>
    <w:rsid w:val="00565D76"/>
    <w:rsid w:val="00570370"/>
    <w:rsid w:val="00587AC3"/>
    <w:rsid w:val="00590A2C"/>
    <w:rsid w:val="0059535B"/>
    <w:rsid w:val="005962DE"/>
    <w:rsid w:val="00596CFC"/>
    <w:rsid w:val="005A0174"/>
    <w:rsid w:val="005A3054"/>
    <w:rsid w:val="005A41F6"/>
    <w:rsid w:val="005B06E4"/>
    <w:rsid w:val="005B2D74"/>
    <w:rsid w:val="005B5BA9"/>
    <w:rsid w:val="005C5FB7"/>
    <w:rsid w:val="005D150C"/>
    <w:rsid w:val="005D152F"/>
    <w:rsid w:val="005D30D5"/>
    <w:rsid w:val="005E02AF"/>
    <w:rsid w:val="005E04FA"/>
    <w:rsid w:val="005E37B1"/>
    <w:rsid w:val="005E43F6"/>
    <w:rsid w:val="005E6B46"/>
    <w:rsid w:val="005F0676"/>
    <w:rsid w:val="005F278A"/>
    <w:rsid w:val="00606481"/>
    <w:rsid w:val="006127BE"/>
    <w:rsid w:val="00620F5C"/>
    <w:rsid w:val="00621588"/>
    <w:rsid w:val="0063175E"/>
    <w:rsid w:val="006338BB"/>
    <w:rsid w:val="00633B6A"/>
    <w:rsid w:val="006352CF"/>
    <w:rsid w:val="00642A73"/>
    <w:rsid w:val="00645462"/>
    <w:rsid w:val="00646411"/>
    <w:rsid w:val="0064654C"/>
    <w:rsid w:val="00650381"/>
    <w:rsid w:val="00650771"/>
    <w:rsid w:val="0065505A"/>
    <w:rsid w:val="00656784"/>
    <w:rsid w:val="006576B6"/>
    <w:rsid w:val="0066606C"/>
    <w:rsid w:val="00667F6E"/>
    <w:rsid w:val="00671633"/>
    <w:rsid w:val="00673B4F"/>
    <w:rsid w:val="00683A09"/>
    <w:rsid w:val="00686432"/>
    <w:rsid w:val="00687705"/>
    <w:rsid w:val="00697A88"/>
    <w:rsid w:val="006A0879"/>
    <w:rsid w:val="006A7C1C"/>
    <w:rsid w:val="006B01CC"/>
    <w:rsid w:val="006C10F7"/>
    <w:rsid w:val="006C20A0"/>
    <w:rsid w:val="006C447A"/>
    <w:rsid w:val="006C4E7D"/>
    <w:rsid w:val="006E2C0A"/>
    <w:rsid w:val="006E73E1"/>
    <w:rsid w:val="006F0E2F"/>
    <w:rsid w:val="007024C0"/>
    <w:rsid w:val="007042EA"/>
    <w:rsid w:val="00705006"/>
    <w:rsid w:val="0070536B"/>
    <w:rsid w:val="00705653"/>
    <w:rsid w:val="00705E0C"/>
    <w:rsid w:val="0070739E"/>
    <w:rsid w:val="007076D9"/>
    <w:rsid w:val="007079C4"/>
    <w:rsid w:val="007141F6"/>
    <w:rsid w:val="00716502"/>
    <w:rsid w:val="0071730C"/>
    <w:rsid w:val="00721963"/>
    <w:rsid w:val="00723834"/>
    <w:rsid w:val="00725752"/>
    <w:rsid w:val="007279E4"/>
    <w:rsid w:val="007314DB"/>
    <w:rsid w:val="00732186"/>
    <w:rsid w:val="00736937"/>
    <w:rsid w:val="00737DE5"/>
    <w:rsid w:val="00737E51"/>
    <w:rsid w:val="00747560"/>
    <w:rsid w:val="007554F8"/>
    <w:rsid w:val="007710C0"/>
    <w:rsid w:val="00775A58"/>
    <w:rsid w:val="0077673C"/>
    <w:rsid w:val="00777538"/>
    <w:rsid w:val="00777CC0"/>
    <w:rsid w:val="00780565"/>
    <w:rsid w:val="00787B88"/>
    <w:rsid w:val="0079189A"/>
    <w:rsid w:val="00793379"/>
    <w:rsid w:val="007A7AEC"/>
    <w:rsid w:val="007B2642"/>
    <w:rsid w:val="007B5F4A"/>
    <w:rsid w:val="007D25AC"/>
    <w:rsid w:val="007E3A5C"/>
    <w:rsid w:val="007E5FA1"/>
    <w:rsid w:val="007F550F"/>
    <w:rsid w:val="00805387"/>
    <w:rsid w:val="00806A4B"/>
    <w:rsid w:val="00812352"/>
    <w:rsid w:val="00830AA5"/>
    <w:rsid w:val="008349B6"/>
    <w:rsid w:val="008355A4"/>
    <w:rsid w:val="00836AE5"/>
    <w:rsid w:val="008529E1"/>
    <w:rsid w:val="00854488"/>
    <w:rsid w:val="008547C9"/>
    <w:rsid w:val="00856A72"/>
    <w:rsid w:val="0086111F"/>
    <w:rsid w:val="00861928"/>
    <w:rsid w:val="00865320"/>
    <w:rsid w:val="008744B9"/>
    <w:rsid w:val="00875719"/>
    <w:rsid w:val="00875D8C"/>
    <w:rsid w:val="0087733A"/>
    <w:rsid w:val="008829D9"/>
    <w:rsid w:val="00883B2C"/>
    <w:rsid w:val="008848CB"/>
    <w:rsid w:val="00897810"/>
    <w:rsid w:val="008A431A"/>
    <w:rsid w:val="008A621C"/>
    <w:rsid w:val="008B1A61"/>
    <w:rsid w:val="008B24AE"/>
    <w:rsid w:val="008B3EA0"/>
    <w:rsid w:val="008B5C74"/>
    <w:rsid w:val="008B76C3"/>
    <w:rsid w:val="008C0C8C"/>
    <w:rsid w:val="008C10D9"/>
    <w:rsid w:val="008C3A67"/>
    <w:rsid w:val="008C426D"/>
    <w:rsid w:val="008C74B2"/>
    <w:rsid w:val="008D1857"/>
    <w:rsid w:val="008D234D"/>
    <w:rsid w:val="008D4125"/>
    <w:rsid w:val="008D6B25"/>
    <w:rsid w:val="008E08E6"/>
    <w:rsid w:val="008E52A4"/>
    <w:rsid w:val="008E6422"/>
    <w:rsid w:val="008F07B6"/>
    <w:rsid w:val="00902F7B"/>
    <w:rsid w:val="0091099D"/>
    <w:rsid w:val="009125B5"/>
    <w:rsid w:val="0091336E"/>
    <w:rsid w:val="00923B02"/>
    <w:rsid w:val="009266C5"/>
    <w:rsid w:val="009313B0"/>
    <w:rsid w:val="00932FBF"/>
    <w:rsid w:val="00933977"/>
    <w:rsid w:val="009415AD"/>
    <w:rsid w:val="009444B8"/>
    <w:rsid w:val="00946645"/>
    <w:rsid w:val="00947053"/>
    <w:rsid w:val="00951ED9"/>
    <w:rsid w:val="00962697"/>
    <w:rsid w:val="00963AFF"/>
    <w:rsid w:val="00963EE7"/>
    <w:rsid w:val="00965494"/>
    <w:rsid w:val="00966036"/>
    <w:rsid w:val="00966F5C"/>
    <w:rsid w:val="0097255C"/>
    <w:rsid w:val="00972954"/>
    <w:rsid w:val="00982A81"/>
    <w:rsid w:val="0098447E"/>
    <w:rsid w:val="00985BBC"/>
    <w:rsid w:val="0098726B"/>
    <w:rsid w:val="009901E6"/>
    <w:rsid w:val="00993A79"/>
    <w:rsid w:val="00993C58"/>
    <w:rsid w:val="00996514"/>
    <w:rsid w:val="009A6CA5"/>
    <w:rsid w:val="009B28E8"/>
    <w:rsid w:val="009B3FB7"/>
    <w:rsid w:val="009B54D6"/>
    <w:rsid w:val="009B61AC"/>
    <w:rsid w:val="009C165E"/>
    <w:rsid w:val="009C330C"/>
    <w:rsid w:val="009C36E9"/>
    <w:rsid w:val="009D38E9"/>
    <w:rsid w:val="009D6388"/>
    <w:rsid w:val="009E2AAF"/>
    <w:rsid w:val="009F0085"/>
    <w:rsid w:val="009F15E3"/>
    <w:rsid w:val="009F2F10"/>
    <w:rsid w:val="00A002D4"/>
    <w:rsid w:val="00A00EEC"/>
    <w:rsid w:val="00A019DB"/>
    <w:rsid w:val="00A03EA5"/>
    <w:rsid w:val="00A17EF3"/>
    <w:rsid w:val="00A22E4E"/>
    <w:rsid w:val="00A24C61"/>
    <w:rsid w:val="00A259E1"/>
    <w:rsid w:val="00A26AD3"/>
    <w:rsid w:val="00A273B8"/>
    <w:rsid w:val="00A27868"/>
    <w:rsid w:val="00A31A91"/>
    <w:rsid w:val="00A32D0F"/>
    <w:rsid w:val="00A40914"/>
    <w:rsid w:val="00A508F6"/>
    <w:rsid w:val="00A52AFA"/>
    <w:rsid w:val="00A62C39"/>
    <w:rsid w:val="00A63FE3"/>
    <w:rsid w:val="00A64773"/>
    <w:rsid w:val="00A73EAA"/>
    <w:rsid w:val="00A73EF4"/>
    <w:rsid w:val="00A768C0"/>
    <w:rsid w:val="00A82810"/>
    <w:rsid w:val="00A82B12"/>
    <w:rsid w:val="00A82E63"/>
    <w:rsid w:val="00A85FB8"/>
    <w:rsid w:val="00A86CDF"/>
    <w:rsid w:val="00A86E4B"/>
    <w:rsid w:val="00A87C21"/>
    <w:rsid w:val="00A95600"/>
    <w:rsid w:val="00A96E2F"/>
    <w:rsid w:val="00AA037B"/>
    <w:rsid w:val="00AA1E46"/>
    <w:rsid w:val="00AA435E"/>
    <w:rsid w:val="00AB2604"/>
    <w:rsid w:val="00AB4F39"/>
    <w:rsid w:val="00AC65E8"/>
    <w:rsid w:val="00AD46D8"/>
    <w:rsid w:val="00AD6303"/>
    <w:rsid w:val="00AD7BE3"/>
    <w:rsid w:val="00AE030E"/>
    <w:rsid w:val="00AE16C6"/>
    <w:rsid w:val="00AE17BA"/>
    <w:rsid w:val="00AE6E00"/>
    <w:rsid w:val="00AF6563"/>
    <w:rsid w:val="00B020BE"/>
    <w:rsid w:val="00B0471F"/>
    <w:rsid w:val="00B203B6"/>
    <w:rsid w:val="00B227FF"/>
    <w:rsid w:val="00B3191A"/>
    <w:rsid w:val="00B40139"/>
    <w:rsid w:val="00B471D2"/>
    <w:rsid w:val="00B47C4B"/>
    <w:rsid w:val="00B52E0D"/>
    <w:rsid w:val="00B5789F"/>
    <w:rsid w:val="00B601C8"/>
    <w:rsid w:val="00B6296D"/>
    <w:rsid w:val="00B65E6A"/>
    <w:rsid w:val="00B67BF6"/>
    <w:rsid w:val="00B76998"/>
    <w:rsid w:val="00B82C15"/>
    <w:rsid w:val="00B83326"/>
    <w:rsid w:val="00B9095C"/>
    <w:rsid w:val="00B93C69"/>
    <w:rsid w:val="00B93E0D"/>
    <w:rsid w:val="00BA2571"/>
    <w:rsid w:val="00BA319D"/>
    <w:rsid w:val="00BA58B3"/>
    <w:rsid w:val="00BB1586"/>
    <w:rsid w:val="00BB2063"/>
    <w:rsid w:val="00BB23FE"/>
    <w:rsid w:val="00BC1630"/>
    <w:rsid w:val="00BC55B4"/>
    <w:rsid w:val="00BC6495"/>
    <w:rsid w:val="00BD2C16"/>
    <w:rsid w:val="00BE1B72"/>
    <w:rsid w:val="00BE4CEA"/>
    <w:rsid w:val="00BF1BC8"/>
    <w:rsid w:val="00BF3241"/>
    <w:rsid w:val="00BF43C8"/>
    <w:rsid w:val="00BF7E0D"/>
    <w:rsid w:val="00C016FF"/>
    <w:rsid w:val="00C01BBE"/>
    <w:rsid w:val="00C069F2"/>
    <w:rsid w:val="00C06FA3"/>
    <w:rsid w:val="00C07435"/>
    <w:rsid w:val="00C11486"/>
    <w:rsid w:val="00C15158"/>
    <w:rsid w:val="00C21A5D"/>
    <w:rsid w:val="00C230EB"/>
    <w:rsid w:val="00C2361F"/>
    <w:rsid w:val="00C24826"/>
    <w:rsid w:val="00C26BBC"/>
    <w:rsid w:val="00C26E76"/>
    <w:rsid w:val="00C32C79"/>
    <w:rsid w:val="00C332C8"/>
    <w:rsid w:val="00C35096"/>
    <w:rsid w:val="00C356CA"/>
    <w:rsid w:val="00C3589D"/>
    <w:rsid w:val="00C40994"/>
    <w:rsid w:val="00C46E3A"/>
    <w:rsid w:val="00C50E4E"/>
    <w:rsid w:val="00C5385D"/>
    <w:rsid w:val="00C54B46"/>
    <w:rsid w:val="00C561DB"/>
    <w:rsid w:val="00C6084B"/>
    <w:rsid w:val="00C648A7"/>
    <w:rsid w:val="00C709F4"/>
    <w:rsid w:val="00C70FEF"/>
    <w:rsid w:val="00C72397"/>
    <w:rsid w:val="00C819A7"/>
    <w:rsid w:val="00C824C4"/>
    <w:rsid w:val="00C91872"/>
    <w:rsid w:val="00C9195B"/>
    <w:rsid w:val="00CA08F9"/>
    <w:rsid w:val="00CA792C"/>
    <w:rsid w:val="00CC260B"/>
    <w:rsid w:val="00CC3C19"/>
    <w:rsid w:val="00CC7B45"/>
    <w:rsid w:val="00CD0D2E"/>
    <w:rsid w:val="00CD4A54"/>
    <w:rsid w:val="00CD7D36"/>
    <w:rsid w:val="00CE1C47"/>
    <w:rsid w:val="00CE4B96"/>
    <w:rsid w:val="00CE69FD"/>
    <w:rsid w:val="00CE6A9D"/>
    <w:rsid w:val="00CF39E5"/>
    <w:rsid w:val="00CF4D78"/>
    <w:rsid w:val="00D0075D"/>
    <w:rsid w:val="00D021A1"/>
    <w:rsid w:val="00D06516"/>
    <w:rsid w:val="00D1383F"/>
    <w:rsid w:val="00D16DFC"/>
    <w:rsid w:val="00D17275"/>
    <w:rsid w:val="00D24FFC"/>
    <w:rsid w:val="00D45AFE"/>
    <w:rsid w:val="00D460EC"/>
    <w:rsid w:val="00D46F81"/>
    <w:rsid w:val="00D471EB"/>
    <w:rsid w:val="00D4785F"/>
    <w:rsid w:val="00D47924"/>
    <w:rsid w:val="00D53D0F"/>
    <w:rsid w:val="00D55AC8"/>
    <w:rsid w:val="00D60EE5"/>
    <w:rsid w:val="00D639CA"/>
    <w:rsid w:val="00D66AAE"/>
    <w:rsid w:val="00D701B9"/>
    <w:rsid w:val="00D70AAB"/>
    <w:rsid w:val="00D73A4C"/>
    <w:rsid w:val="00D76ED3"/>
    <w:rsid w:val="00D821A4"/>
    <w:rsid w:val="00D838A0"/>
    <w:rsid w:val="00D9331E"/>
    <w:rsid w:val="00D94320"/>
    <w:rsid w:val="00D9463F"/>
    <w:rsid w:val="00DA06F7"/>
    <w:rsid w:val="00DB0B93"/>
    <w:rsid w:val="00DB33D4"/>
    <w:rsid w:val="00DB364A"/>
    <w:rsid w:val="00DB68B4"/>
    <w:rsid w:val="00DC0BBA"/>
    <w:rsid w:val="00DC3D5C"/>
    <w:rsid w:val="00DD076A"/>
    <w:rsid w:val="00DD16A7"/>
    <w:rsid w:val="00DD183E"/>
    <w:rsid w:val="00DD24D6"/>
    <w:rsid w:val="00DD6C88"/>
    <w:rsid w:val="00DE6616"/>
    <w:rsid w:val="00DE74EC"/>
    <w:rsid w:val="00DF1B1D"/>
    <w:rsid w:val="00DF21A8"/>
    <w:rsid w:val="00DF782A"/>
    <w:rsid w:val="00E00126"/>
    <w:rsid w:val="00E003BC"/>
    <w:rsid w:val="00E0046A"/>
    <w:rsid w:val="00E03ED1"/>
    <w:rsid w:val="00E07401"/>
    <w:rsid w:val="00E11BDF"/>
    <w:rsid w:val="00E17518"/>
    <w:rsid w:val="00E21F02"/>
    <w:rsid w:val="00E22ECF"/>
    <w:rsid w:val="00E23404"/>
    <w:rsid w:val="00E25E8E"/>
    <w:rsid w:val="00E271C6"/>
    <w:rsid w:val="00E304D7"/>
    <w:rsid w:val="00E337DC"/>
    <w:rsid w:val="00E40AA3"/>
    <w:rsid w:val="00E4374E"/>
    <w:rsid w:val="00E44C81"/>
    <w:rsid w:val="00E451F7"/>
    <w:rsid w:val="00E47877"/>
    <w:rsid w:val="00E53C05"/>
    <w:rsid w:val="00E56F7D"/>
    <w:rsid w:val="00E61844"/>
    <w:rsid w:val="00E63C84"/>
    <w:rsid w:val="00E74BCB"/>
    <w:rsid w:val="00E764A2"/>
    <w:rsid w:val="00E8464F"/>
    <w:rsid w:val="00E8755C"/>
    <w:rsid w:val="00E90DA8"/>
    <w:rsid w:val="00E91E7C"/>
    <w:rsid w:val="00EA20E0"/>
    <w:rsid w:val="00EB2D7B"/>
    <w:rsid w:val="00EB4CED"/>
    <w:rsid w:val="00EC54B7"/>
    <w:rsid w:val="00ED09E6"/>
    <w:rsid w:val="00ED1024"/>
    <w:rsid w:val="00EE52A0"/>
    <w:rsid w:val="00EE7A39"/>
    <w:rsid w:val="00EF1338"/>
    <w:rsid w:val="00EF6B40"/>
    <w:rsid w:val="00EF76AD"/>
    <w:rsid w:val="00F0169F"/>
    <w:rsid w:val="00F055B4"/>
    <w:rsid w:val="00F066F6"/>
    <w:rsid w:val="00F06B3C"/>
    <w:rsid w:val="00F07F6A"/>
    <w:rsid w:val="00F10694"/>
    <w:rsid w:val="00F13612"/>
    <w:rsid w:val="00F164EF"/>
    <w:rsid w:val="00F176F3"/>
    <w:rsid w:val="00F21146"/>
    <w:rsid w:val="00F269B5"/>
    <w:rsid w:val="00F26AEB"/>
    <w:rsid w:val="00F27548"/>
    <w:rsid w:val="00F27635"/>
    <w:rsid w:val="00F34260"/>
    <w:rsid w:val="00F35D57"/>
    <w:rsid w:val="00F36EF8"/>
    <w:rsid w:val="00F4145E"/>
    <w:rsid w:val="00F43E1F"/>
    <w:rsid w:val="00F4624C"/>
    <w:rsid w:val="00F46AC5"/>
    <w:rsid w:val="00F47172"/>
    <w:rsid w:val="00F51207"/>
    <w:rsid w:val="00F515B1"/>
    <w:rsid w:val="00F52450"/>
    <w:rsid w:val="00F56998"/>
    <w:rsid w:val="00F60C83"/>
    <w:rsid w:val="00F611D0"/>
    <w:rsid w:val="00F62295"/>
    <w:rsid w:val="00F7263A"/>
    <w:rsid w:val="00F743A4"/>
    <w:rsid w:val="00F75641"/>
    <w:rsid w:val="00F86D38"/>
    <w:rsid w:val="00F86F9F"/>
    <w:rsid w:val="00F920A7"/>
    <w:rsid w:val="00F947E3"/>
    <w:rsid w:val="00F95823"/>
    <w:rsid w:val="00F96DB7"/>
    <w:rsid w:val="00F97332"/>
    <w:rsid w:val="00FA0A1C"/>
    <w:rsid w:val="00FA273B"/>
    <w:rsid w:val="00FB0CCF"/>
    <w:rsid w:val="00FB6154"/>
    <w:rsid w:val="00FC397C"/>
    <w:rsid w:val="00FC7592"/>
    <w:rsid w:val="00FC7E0B"/>
    <w:rsid w:val="00FD0568"/>
    <w:rsid w:val="00FD462C"/>
    <w:rsid w:val="00FD4901"/>
    <w:rsid w:val="00FD56E6"/>
    <w:rsid w:val="00FE69F8"/>
    <w:rsid w:val="00FF16BE"/>
    <w:rsid w:val="00FF220A"/>
    <w:rsid w:val="00FF24BA"/>
    <w:rsid w:val="00FF2E1A"/>
    <w:rsid w:val="00FF2F5D"/>
    <w:rsid w:val="00FF7F55"/>
    <w:rsid w:val="4B724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0"/>
      <w:lang w:val="en-US" w:eastAsia="zh-CN" w:bidi="ar-SA"/>
    </w:rPr>
  </w:style>
  <w:style w:type="paragraph" w:styleId="2">
    <w:name w:val="heading 1"/>
    <w:basedOn w:val="1"/>
    <w:next w:val="1"/>
    <w:link w:val="48"/>
    <w:qFormat/>
    <w:uiPriority w:val="0"/>
    <w:pPr>
      <w:ind w:firstLine="200" w:firstLineChars="200"/>
      <w:outlineLvl w:val="0"/>
    </w:pPr>
    <w:rPr>
      <w:rFonts w:eastAsia="方正黑体_GBK"/>
      <w:bCs/>
      <w:kern w:val="44"/>
      <w:sz w:val="32"/>
      <w:szCs w:val="44"/>
    </w:rPr>
  </w:style>
  <w:style w:type="paragraph" w:styleId="3">
    <w:name w:val="heading 2"/>
    <w:basedOn w:val="1"/>
    <w:next w:val="1"/>
    <w:link w:val="49"/>
    <w:autoRedefine/>
    <w:qFormat/>
    <w:uiPriority w:val="0"/>
    <w:pPr>
      <w:keepNext/>
      <w:keepLines/>
      <w:spacing w:line="300" w:lineRule="auto"/>
      <w:ind w:firstLine="643" w:firstLineChars="200"/>
      <w:outlineLvl w:val="1"/>
    </w:pPr>
    <w:rPr>
      <w:rFonts w:ascii="Calibri Light" w:hAnsi="Calibri Light" w:eastAsia="方正黑体_GBK"/>
      <w:b/>
      <w:bCs/>
      <w:sz w:val="32"/>
      <w:szCs w:val="32"/>
    </w:rPr>
  </w:style>
  <w:style w:type="paragraph" w:styleId="4">
    <w:name w:val="heading 3"/>
    <w:basedOn w:val="1"/>
    <w:next w:val="1"/>
    <w:link w:val="50"/>
    <w:autoRedefine/>
    <w:qFormat/>
    <w:uiPriority w:val="0"/>
    <w:pPr>
      <w:keepNext/>
      <w:keepLines/>
      <w:spacing w:line="300" w:lineRule="auto"/>
      <w:ind w:firstLine="200" w:firstLineChars="200"/>
      <w:outlineLvl w:val="2"/>
    </w:pPr>
    <w:rPr>
      <w:rFonts w:ascii="Calibri" w:hAnsi="Calibri" w:eastAsia="方正仿宋_GBK"/>
      <w:bCs/>
      <w:sz w:val="32"/>
      <w:szCs w:val="32"/>
    </w:rPr>
  </w:style>
  <w:style w:type="paragraph" w:styleId="5">
    <w:name w:val="heading 4"/>
    <w:basedOn w:val="1"/>
    <w:next w:val="1"/>
    <w:link w:val="51"/>
    <w:qFormat/>
    <w:uiPriority w:val="0"/>
    <w:pPr>
      <w:keepNext/>
      <w:keepLines/>
      <w:spacing w:before="280" w:after="290" w:line="376" w:lineRule="auto"/>
      <w:outlineLvl w:val="3"/>
    </w:pPr>
    <w:rPr>
      <w:rFonts w:ascii="Calibri Light" w:hAnsi="Calibri Light" w:eastAsia="华文仿宋"/>
      <w:b/>
      <w:bCs/>
      <w:sz w:val="28"/>
      <w:szCs w:val="28"/>
    </w:rPr>
  </w:style>
  <w:style w:type="paragraph" w:styleId="6">
    <w:name w:val="heading 5"/>
    <w:basedOn w:val="1"/>
    <w:next w:val="1"/>
    <w:qFormat/>
    <w:uiPriority w:val="0"/>
    <w:pPr>
      <w:keepNext/>
      <w:numPr>
        <w:ilvl w:val="0"/>
        <w:numId w:val="1"/>
      </w:numPr>
      <w:outlineLvl w:val="4"/>
    </w:pPr>
    <w:rPr>
      <w:rFonts w:eastAsia="宋体"/>
      <w:sz w:val="28"/>
      <w:szCs w:val="24"/>
      <w:u w:val="thick"/>
    </w:rPr>
  </w:style>
  <w:style w:type="paragraph" w:styleId="7">
    <w:name w:val="heading 6"/>
    <w:basedOn w:val="1"/>
    <w:next w:val="1"/>
    <w:qFormat/>
    <w:uiPriority w:val="0"/>
    <w:pPr>
      <w:keepNext/>
      <w:numPr>
        <w:ilvl w:val="0"/>
        <w:numId w:val="2"/>
      </w:numPr>
      <w:spacing w:line="360" w:lineRule="auto"/>
      <w:outlineLvl w:val="5"/>
    </w:pPr>
    <w:rPr>
      <w:rFonts w:eastAsia="宋体"/>
      <w:b/>
      <w:bCs/>
      <w:szCs w:val="24"/>
      <w:u w:val="single"/>
    </w:rPr>
  </w:style>
  <w:style w:type="paragraph" w:styleId="8">
    <w:name w:val="heading 7"/>
    <w:basedOn w:val="1"/>
    <w:next w:val="1"/>
    <w:link w:val="325"/>
    <w:qFormat/>
    <w:uiPriority w:val="0"/>
    <w:pPr>
      <w:keepNext/>
      <w:keepLines/>
      <w:spacing w:before="240" w:after="64" w:line="320" w:lineRule="auto"/>
      <w:outlineLvl w:val="6"/>
    </w:pPr>
    <w:rPr>
      <w:rFonts w:ascii="仿宋_GB2312" w:hAnsi="宋体" w:eastAsia="仿宋_GB2312"/>
      <w:b/>
      <w:bCs/>
      <w:sz w:val="24"/>
      <w:szCs w:val="32"/>
    </w:rPr>
  </w:style>
  <w:style w:type="paragraph" w:styleId="9">
    <w:name w:val="heading 8"/>
    <w:basedOn w:val="1"/>
    <w:next w:val="1"/>
    <w:link w:val="326"/>
    <w:qFormat/>
    <w:uiPriority w:val="0"/>
    <w:pPr>
      <w:keepNext/>
      <w:keepLines/>
      <w:spacing w:before="240" w:after="64" w:line="320" w:lineRule="auto"/>
      <w:outlineLvl w:val="7"/>
    </w:pPr>
    <w:rPr>
      <w:rFonts w:ascii="Arial" w:hAnsi="Arial" w:eastAsia="黑体"/>
      <w:sz w:val="24"/>
      <w:szCs w:val="32"/>
    </w:rPr>
  </w:style>
  <w:style w:type="paragraph" w:styleId="10">
    <w:name w:val="heading 9"/>
    <w:basedOn w:val="1"/>
    <w:next w:val="1"/>
    <w:link w:val="327"/>
    <w:qFormat/>
    <w:uiPriority w:val="0"/>
    <w:pPr>
      <w:keepNext/>
      <w:keepLines/>
      <w:spacing w:before="240" w:after="64" w:line="320" w:lineRule="auto"/>
      <w:outlineLvl w:val="8"/>
    </w:pPr>
    <w:rPr>
      <w:rFonts w:ascii="Arial" w:hAnsi="Arial" w:eastAsia="黑体"/>
      <w:sz w:val="21"/>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semiHidden/>
    <w:uiPriority w:val="0"/>
    <w:pPr>
      <w:ind w:left="1260"/>
      <w:jc w:val="left"/>
    </w:pPr>
    <w:rPr>
      <w:rFonts w:ascii="Calibri" w:hAnsi="Calibri" w:eastAsia="宋体"/>
      <w:sz w:val="18"/>
      <w:szCs w:val="18"/>
    </w:rPr>
  </w:style>
  <w:style w:type="paragraph" w:styleId="12">
    <w:name w:val="Normal Indent"/>
    <w:basedOn w:val="1"/>
    <w:uiPriority w:val="0"/>
    <w:pPr>
      <w:ind w:firstLine="420" w:firstLineChars="200"/>
    </w:pPr>
    <w:rPr>
      <w:rFonts w:eastAsia="宋体"/>
      <w:sz w:val="21"/>
      <w:szCs w:val="24"/>
    </w:rPr>
  </w:style>
  <w:style w:type="paragraph" w:styleId="13">
    <w:name w:val="caption"/>
    <w:basedOn w:val="1"/>
    <w:next w:val="1"/>
    <w:qFormat/>
    <w:uiPriority w:val="0"/>
    <w:rPr>
      <w:rFonts w:ascii="Cambria" w:hAnsi="Cambria" w:eastAsia="黑体"/>
      <w:sz w:val="20"/>
    </w:rPr>
  </w:style>
  <w:style w:type="paragraph" w:styleId="14">
    <w:name w:val="List Bullet"/>
    <w:basedOn w:val="1"/>
    <w:autoRedefine/>
    <w:uiPriority w:val="0"/>
    <w:pPr>
      <w:tabs>
        <w:tab w:val="left" w:pos="360"/>
      </w:tabs>
      <w:ind w:left="360" w:hanging="360" w:hangingChars="200"/>
    </w:pPr>
  </w:style>
  <w:style w:type="paragraph" w:styleId="15">
    <w:name w:val="Document Map"/>
    <w:basedOn w:val="1"/>
    <w:link w:val="330"/>
    <w:semiHidden/>
    <w:uiPriority w:val="0"/>
    <w:rPr>
      <w:rFonts w:ascii="Microsoft YaHei UI" w:hAnsi="Calibri" w:eastAsia="Microsoft YaHei UI"/>
      <w:kern w:val="0"/>
      <w:sz w:val="18"/>
    </w:rPr>
  </w:style>
  <w:style w:type="paragraph" w:styleId="16">
    <w:name w:val="annotation text"/>
    <w:basedOn w:val="1"/>
    <w:link w:val="329"/>
    <w:semiHidden/>
    <w:uiPriority w:val="0"/>
    <w:pPr>
      <w:jc w:val="left"/>
    </w:pPr>
    <w:rPr>
      <w:rFonts w:ascii="Calibri" w:hAnsi="Calibri" w:eastAsia="宋体"/>
      <w:sz w:val="21"/>
      <w:szCs w:val="22"/>
    </w:rPr>
  </w:style>
  <w:style w:type="paragraph" w:styleId="17">
    <w:name w:val="Body Text 3"/>
    <w:basedOn w:val="1"/>
    <w:uiPriority w:val="0"/>
    <w:pPr>
      <w:spacing w:line="324" w:lineRule="auto"/>
    </w:pPr>
    <w:rPr>
      <w:rFonts w:eastAsia="方正仿宋_GBK"/>
      <w:sz w:val="32"/>
      <w:szCs w:val="32"/>
    </w:rPr>
  </w:style>
  <w:style w:type="paragraph" w:styleId="18">
    <w:name w:val="Body Text"/>
    <w:basedOn w:val="1"/>
    <w:link w:val="64"/>
    <w:uiPriority w:val="0"/>
    <w:pPr>
      <w:spacing w:line="228" w:lineRule="auto"/>
      <w:jc w:val="center"/>
    </w:pPr>
    <w:rPr>
      <w:rFonts w:eastAsia="方正书宋_GBK"/>
      <w:w w:val="90"/>
      <w:sz w:val="18"/>
      <w:szCs w:val="22"/>
    </w:rPr>
  </w:style>
  <w:style w:type="paragraph" w:styleId="19">
    <w:name w:val="Body Text Indent"/>
    <w:basedOn w:val="1"/>
    <w:link w:val="333"/>
    <w:uiPriority w:val="0"/>
    <w:pPr>
      <w:adjustRightInd w:val="0"/>
      <w:snapToGrid w:val="0"/>
      <w:spacing w:line="283" w:lineRule="auto"/>
      <w:ind w:firstLine="640" w:firstLineChars="200"/>
    </w:pPr>
    <w:rPr>
      <w:rFonts w:ascii="方正仿宋_GBK" w:eastAsia="方正仿宋_GBK"/>
      <w:bCs/>
      <w:sz w:val="32"/>
      <w:szCs w:val="32"/>
    </w:rPr>
  </w:style>
  <w:style w:type="paragraph" w:styleId="20">
    <w:name w:val="Block Text"/>
    <w:basedOn w:val="1"/>
    <w:uiPriority w:val="0"/>
    <w:pPr>
      <w:spacing w:line="288" w:lineRule="auto"/>
      <w:ind w:left="1106" w:right="330" w:hanging="806"/>
    </w:pPr>
    <w:rPr>
      <w:sz w:val="28"/>
    </w:rPr>
  </w:style>
  <w:style w:type="paragraph" w:styleId="21">
    <w:name w:val="toc 5"/>
    <w:basedOn w:val="1"/>
    <w:next w:val="1"/>
    <w:autoRedefine/>
    <w:semiHidden/>
    <w:uiPriority w:val="0"/>
    <w:pPr>
      <w:ind w:left="840"/>
      <w:jc w:val="left"/>
    </w:pPr>
    <w:rPr>
      <w:rFonts w:ascii="Calibri" w:hAnsi="Calibri" w:eastAsia="宋体"/>
      <w:sz w:val="18"/>
      <w:szCs w:val="18"/>
    </w:rPr>
  </w:style>
  <w:style w:type="paragraph" w:styleId="22">
    <w:name w:val="toc 3"/>
    <w:basedOn w:val="1"/>
    <w:next w:val="1"/>
    <w:autoRedefine/>
    <w:semiHidden/>
    <w:uiPriority w:val="0"/>
    <w:pPr>
      <w:ind w:left="420"/>
      <w:jc w:val="left"/>
    </w:pPr>
    <w:rPr>
      <w:rFonts w:ascii="Calibri" w:hAnsi="Calibri" w:eastAsia="华文仿宋"/>
      <w:iCs/>
      <w:sz w:val="21"/>
    </w:rPr>
  </w:style>
  <w:style w:type="paragraph" w:styleId="23">
    <w:name w:val="Plain Text"/>
    <w:basedOn w:val="1"/>
    <w:link w:val="52"/>
    <w:uiPriority w:val="0"/>
    <w:pPr>
      <w:widowControl/>
      <w:spacing w:before="100" w:beforeAutospacing="1" w:after="100" w:afterAutospacing="1"/>
      <w:jc w:val="left"/>
    </w:pPr>
    <w:rPr>
      <w:rFonts w:ascii="宋体" w:hAnsi="宋体" w:eastAsia="宋体"/>
      <w:kern w:val="0"/>
      <w:sz w:val="24"/>
      <w:szCs w:val="24"/>
    </w:rPr>
  </w:style>
  <w:style w:type="paragraph" w:styleId="24">
    <w:name w:val="toc 8"/>
    <w:basedOn w:val="1"/>
    <w:next w:val="1"/>
    <w:autoRedefine/>
    <w:semiHidden/>
    <w:uiPriority w:val="0"/>
    <w:pPr>
      <w:ind w:left="1470"/>
      <w:jc w:val="left"/>
    </w:pPr>
    <w:rPr>
      <w:rFonts w:ascii="Calibri" w:hAnsi="Calibri" w:eastAsia="宋体"/>
      <w:sz w:val="18"/>
      <w:szCs w:val="18"/>
    </w:rPr>
  </w:style>
  <w:style w:type="paragraph" w:styleId="25">
    <w:name w:val="Date"/>
    <w:basedOn w:val="1"/>
    <w:next w:val="1"/>
    <w:link w:val="58"/>
    <w:uiPriority w:val="0"/>
    <w:pPr>
      <w:ind w:left="100" w:leftChars="2500"/>
    </w:pPr>
    <w:rPr>
      <w:rFonts w:ascii="仿宋_GB2312" w:eastAsia="仿宋_GB2312"/>
      <w:sz w:val="32"/>
      <w:szCs w:val="24"/>
    </w:rPr>
  </w:style>
  <w:style w:type="paragraph" w:styleId="26">
    <w:name w:val="Body Text Indent 2"/>
    <w:basedOn w:val="1"/>
    <w:link w:val="335"/>
    <w:qFormat/>
    <w:uiPriority w:val="0"/>
    <w:pPr>
      <w:spacing w:line="288" w:lineRule="auto"/>
      <w:ind w:left="868" w:hanging="868"/>
    </w:pPr>
    <w:rPr>
      <w:sz w:val="28"/>
    </w:rPr>
  </w:style>
  <w:style w:type="paragraph" w:styleId="27">
    <w:name w:val="Balloon Text"/>
    <w:basedOn w:val="1"/>
    <w:link w:val="62"/>
    <w:semiHidden/>
    <w:uiPriority w:val="0"/>
    <w:rPr>
      <w:sz w:val="18"/>
      <w:szCs w:val="18"/>
    </w:rPr>
  </w:style>
  <w:style w:type="paragraph" w:styleId="28">
    <w:name w:val="footer"/>
    <w:basedOn w:val="1"/>
    <w:link w:val="53"/>
    <w:uiPriority w:val="0"/>
    <w:pPr>
      <w:tabs>
        <w:tab w:val="center" w:pos="4153"/>
        <w:tab w:val="right" w:pos="8306"/>
      </w:tabs>
      <w:snapToGrid w:val="0"/>
      <w:jc w:val="left"/>
    </w:pPr>
    <w:rPr>
      <w:sz w:val="18"/>
      <w:szCs w:val="18"/>
    </w:rPr>
  </w:style>
  <w:style w:type="paragraph" w:styleId="29">
    <w:name w:val="header"/>
    <w:basedOn w:val="1"/>
    <w:link w:val="55"/>
    <w:uiPriority w:val="0"/>
    <w:pPr>
      <w:pBdr>
        <w:bottom w:val="single" w:color="auto" w:sz="6" w:space="1"/>
      </w:pBdr>
      <w:tabs>
        <w:tab w:val="center" w:pos="4153"/>
        <w:tab w:val="right" w:pos="8306"/>
      </w:tabs>
      <w:snapToGrid w:val="0"/>
      <w:jc w:val="center"/>
    </w:pPr>
    <w:rPr>
      <w:rFonts w:ascii="Calibri" w:hAnsi="Calibri" w:eastAsia="宋体"/>
      <w:sz w:val="18"/>
      <w:szCs w:val="18"/>
    </w:rPr>
  </w:style>
  <w:style w:type="paragraph" w:styleId="30">
    <w:name w:val="toc 1"/>
    <w:basedOn w:val="1"/>
    <w:next w:val="1"/>
    <w:autoRedefine/>
    <w:semiHidden/>
    <w:uiPriority w:val="0"/>
    <w:pPr>
      <w:spacing w:before="120" w:after="120"/>
      <w:jc w:val="left"/>
    </w:pPr>
    <w:rPr>
      <w:rFonts w:ascii="Calibri" w:hAnsi="Calibri" w:eastAsia="仿宋"/>
      <w:b/>
      <w:bCs/>
      <w:caps/>
      <w:sz w:val="24"/>
    </w:rPr>
  </w:style>
  <w:style w:type="paragraph" w:styleId="31">
    <w:name w:val="toc 4"/>
    <w:basedOn w:val="1"/>
    <w:next w:val="1"/>
    <w:autoRedefine/>
    <w:semiHidden/>
    <w:uiPriority w:val="0"/>
    <w:pPr>
      <w:ind w:left="630"/>
      <w:jc w:val="left"/>
    </w:pPr>
    <w:rPr>
      <w:rFonts w:ascii="Calibri" w:hAnsi="Calibri" w:eastAsia="华文仿宋"/>
      <w:sz w:val="21"/>
      <w:szCs w:val="18"/>
    </w:rPr>
  </w:style>
  <w:style w:type="paragraph" w:styleId="32">
    <w:name w:val="toc 6"/>
    <w:basedOn w:val="1"/>
    <w:next w:val="1"/>
    <w:autoRedefine/>
    <w:semiHidden/>
    <w:uiPriority w:val="0"/>
    <w:pPr>
      <w:ind w:left="1050"/>
      <w:jc w:val="left"/>
    </w:pPr>
    <w:rPr>
      <w:rFonts w:ascii="Calibri" w:hAnsi="Calibri" w:eastAsia="宋体"/>
      <w:sz w:val="18"/>
      <w:szCs w:val="18"/>
    </w:rPr>
  </w:style>
  <w:style w:type="paragraph" w:styleId="33">
    <w:name w:val="Body Text Indent 3"/>
    <w:basedOn w:val="1"/>
    <w:link w:val="337"/>
    <w:uiPriority w:val="0"/>
    <w:pPr>
      <w:snapToGrid w:val="0"/>
      <w:spacing w:line="276" w:lineRule="auto"/>
      <w:ind w:left="1602" w:leftChars="214" w:hanging="960" w:hangingChars="300"/>
    </w:pPr>
    <w:rPr>
      <w:rFonts w:eastAsia="方正仿宋_GBK"/>
      <w:sz w:val="32"/>
      <w:szCs w:val="32"/>
    </w:rPr>
  </w:style>
  <w:style w:type="paragraph" w:styleId="34">
    <w:name w:val="toc 2"/>
    <w:basedOn w:val="1"/>
    <w:next w:val="1"/>
    <w:autoRedefine/>
    <w:semiHidden/>
    <w:uiPriority w:val="0"/>
    <w:pPr>
      <w:tabs>
        <w:tab w:val="right" w:leader="dot" w:pos="8296"/>
      </w:tabs>
      <w:spacing w:line="600" w:lineRule="exact"/>
      <w:ind w:left="210"/>
      <w:jc w:val="left"/>
    </w:pPr>
    <w:rPr>
      <w:rFonts w:eastAsia="方正小标宋_GBK"/>
      <w:bCs/>
      <w:smallCaps/>
      <w:sz w:val="28"/>
    </w:rPr>
  </w:style>
  <w:style w:type="paragraph" w:styleId="35">
    <w:name w:val="toc 9"/>
    <w:basedOn w:val="1"/>
    <w:next w:val="1"/>
    <w:autoRedefine/>
    <w:semiHidden/>
    <w:uiPriority w:val="0"/>
    <w:pPr>
      <w:ind w:left="1680"/>
      <w:jc w:val="left"/>
    </w:pPr>
    <w:rPr>
      <w:rFonts w:ascii="Calibri" w:hAnsi="Calibri" w:eastAsia="宋体"/>
      <w:sz w:val="18"/>
      <w:szCs w:val="18"/>
    </w:rPr>
  </w:style>
  <w:style w:type="paragraph" w:styleId="36">
    <w:name w:val="Body Text 2"/>
    <w:basedOn w:val="1"/>
    <w:link w:val="336"/>
    <w:uiPriority w:val="0"/>
    <w:pPr>
      <w:jc w:val="center"/>
    </w:pPr>
    <w:rPr>
      <w:rFonts w:eastAsia="方正小标宋_GBK"/>
      <w:sz w:val="44"/>
      <w:szCs w:val="36"/>
    </w:rPr>
  </w:style>
  <w:style w:type="paragraph" w:styleId="37">
    <w:name w:val="HTML Preformatted"/>
    <w:basedOn w:val="1"/>
    <w:link w:val="334"/>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38">
    <w:name w:val="Normal (Web)"/>
    <w:basedOn w:val="1"/>
    <w:uiPriority w:val="0"/>
    <w:pPr>
      <w:widowControl/>
      <w:spacing w:before="100" w:beforeAutospacing="1" w:after="100" w:afterAutospacing="1"/>
      <w:jc w:val="left"/>
    </w:pPr>
    <w:rPr>
      <w:rFonts w:ascii="Arial Unicode MS" w:hAnsi="Arial Unicode MS" w:eastAsia="Arial Unicode MS"/>
      <w:kern w:val="0"/>
      <w:sz w:val="24"/>
      <w:szCs w:val="24"/>
    </w:rPr>
  </w:style>
  <w:style w:type="paragraph" w:styleId="39">
    <w:name w:val="Title"/>
    <w:basedOn w:val="1"/>
    <w:next w:val="1"/>
    <w:qFormat/>
    <w:uiPriority w:val="0"/>
    <w:pPr>
      <w:adjustRightInd w:val="0"/>
      <w:snapToGrid w:val="0"/>
      <w:spacing w:line="288" w:lineRule="auto"/>
      <w:jc w:val="center"/>
      <w:outlineLvl w:val="0"/>
    </w:pPr>
    <w:rPr>
      <w:rFonts w:ascii="Cambria" w:hAnsi="Cambria" w:eastAsia="方正小标宋_GBK"/>
      <w:bCs/>
      <w:sz w:val="44"/>
      <w:szCs w:val="32"/>
    </w:rPr>
  </w:style>
  <w:style w:type="paragraph" w:styleId="40">
    <w:name w:val="annotation subject"/>
    <w:basedOn w:val="16"/>
    <w:next w:val="16"/>
    <w:link w:val="331"/>
    <w:semiHidden/>
    <w:unhideWhenUsed/>
    <w:uiPriority w:val="0"/>
    <w:rPr>
      <w:b/>
      <w:bCs/>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qFormat/>
    <w:uiPriority w:val="0"/>
    <w:rPr>
      <w:b/>
      <w:bCs/>
    </w:rPr>
  </w:style>
  <w:style w:type="character" w:styleId="45">
    <w:name w:val="page number"/>
    <w:basedOn w:val="43"/>
    <w:uiPriority w:val="0"/>
  </w:style>
  <w:style w:type="character" w:styleId="46">
    <w:name w:val="FollowedHyperlink"/>
    <w:basedOn w:val="43"/>
    <w:uiPriority w:val="0"/>
    <w:rPr>
      <w:color w:val="800080"/>
      <w:u w:val="single"/>
    </w:rPr>
  </w:style>
  <w:style w:type="character" w:styleId="47">
    <w:name w:val="Hyperlink"/>
    <w:basedOn w:val="43"/>
    <w:uiPriority w:val="0"/>
    <w:rPr>
      <w:color w:val="0000FF"/>
      <w:u w:val="single"/>
    </w:rPr>
  </w:style>
  <w:style w:type="character" w:customStyle="1" w:styleId="48">
    <w:name w:val="标题 1 Char1"/>
    <w:basedOn w:val="43"/>
    <w:link w:val="2"/>
    <w:qFormat/>
    <w:uiPriority w:val="0"/>
    <w:rPr>
      <w:rFonts w:eastAsia="方正黑体_GBK"/>
      <w:bCs/>
      <w:kern w:val="44"/>
      <w:sz w:val="32"/>
      <w:szCs w:val="44"/>
      <w:lang w:val="en-US" w:eastAsia="zh-CN" w:bidi="ar-SA"/>
    </w:rPr>
  </w:style>
  <w:style w:type="character" w:customStyle="1" w:styleId="49">
    <w:name w:val="标题 2 Char"/>
    <w:basedOn w:val="43"/>
    <w:link w:val="3"/>
    <w:uiPriority w:val="0"/>
    <w:rPr>
      <w:rFonts w:ascii="Calibri Light" w:hAnsi="Calibri Light" w:eastAsia="方正黑体_GBK"/>
      <w:b/>
      <w:bCs/>
      <w:kern w:val="2"/>
      <w:sz w:val="32"/>
      <w:szCs w:val="32"/>
      <w:lang w:val="en-US" w:eastAsia="zh-CN" w:bidi="ar-SA"/>
    </w:rPr>
  </w:style>
  <w:style w:type="character" w:customStyle="1" w:styleId="50">
    <w:name w:val="标题 3 Char"/>
    <w:basedOn w:val="43"/>
    <w:link w:val="4"/>
    <w:qFormat/>
    <w:uiPriority w:val="0"/>
    <w:rPr>
      <w:rFonts w:ascii="Calibri" w:hAnsi="Calibri" w:eastAsia="方正仿宋_GBK"/>
      <w:bCs/>
      <w:kern w:val="2"/>
      <w:sz w:val="32"/>
      <w:szCs w:val="32"/>
      <w:lang w:val="en-US" w:eastAsia="zh-CN" w:bidi="ar-SA"/>
    </w:rPr>
  </w:style>
  <w:style w:type="character" w:customStyle="1" w:styleId="51">
    <w:name w:val="标题 4 Char"/>
    <w:basedOn w:val="43"/>
    <w:link w:val="5"/>
    <w:uiPriority w:val="0"/>
    <w:rPr>
      <w:rFonts w:ascii="Calibri Light" w:hAnsi="Calibri Light" w:eastAsia="华文仿宋"/>
      <w:b/>
      <w:bCs/>
      <w:kern w:val="2"/>
      <w:sz w:val="28"/>
      <w:szCs w:val="28"/>
      <w:lang w:val="en-US" w:eastAsia="zh-CN" w:bidi="ar-SA"/>
    </w:rPr>
  </w:style>
  <w:style w:type="character" w:customStyle="1" w:styleId="52">
    <w:name w:val="纯文本 Char"/>
    <w:basedOn w:val="43"/>
    <w:link w:val="23"/>
    <w:locked/>
    <w:uiPriority w:val="0"/>
    <w:rPr>
      <w:rFonts w:ascii="宋体" w:hAnsi="宋体" w:eastAsia="宋体"/>
      <w:sz w:val="24"/>
      <w:szCs w:val="24"/>
      <w:lang w:val="en-US" w:eastAsia="zh-CN" w:bidi="ar-SA"/>
    </w:rPr>
  </w:style>
  <w:style w:type="character" w:customStyle="1" w:styleId="53">
    <w:name w:val="页脚 Char"/>
    <w:link w:val="28"/>
    <w:qFormat/>
    <w:uiPriority w:val="0"/>
    <w:rPr>
      <w:rFonts w:eastAsia="方正仿宋简体"/>
      <w:kern w:val="2"/>
      <w:sz w:val="18"/>
      <w:szCs w:val="18"/>
      <w:lang w:val="en-US" w:eastAsia="zh-CN" w:bidi="ar-SA"/>
    </w:rPr>
  </w:style>
  <w:style w:type="character" w:customStyle="1" w:styleId="54">
    <w:name w:val="Footer Char"/>
    <w:locked/>
    <w:uiPriority w:val="0"/>
    <w:rPr>
      <w:rFonts w:eastAsia="方正仿宋简体"/>
      <w:kern w:val="2"/>
      <w:sz w:val="18"/>
      <w:szCs w:val="18"/>
      <w:lang w:val="en-US" w:eastAsia="zh-CN" w:bidi="ar-SA"/>
    </w:rPr>
  </w:style>
  <w:style w:type="character" w:customStyle="1" w:styleId="55">
    <w:name w:val="页眉 Char"/>
    <w:basedOn w:val="43"/>
    <w:link w:val="29"/>
    <w:uiPriority w:val="0"/>
    <w:rPr>
      <w:rFonts w:ascii="Calibri" w:hAnsi="Calibri" w:eastAsia="宋体"/>
      <w:kern w:val="2"/>
      <w:sz w:val="18"/>
      <w:szCs w:val="18"/>
      <w:lang w:val="en-US" w:eastAsia="zh-CN" w:bidi="ar-SA"/>
    </w:rPr>
  </w:style>
  <w:style w:type="character" w:customStyle="1" w:styleId="56">
    <w:name w:val="Header Char"/>
    <w:locked/>
    <w:uiPriority w:val="0"/>
    <w:rPr>
      <w:rFonts w:ascii="Calibri" w:hAnsi="Calibri" w:eastAsia="宋体"/>
      <w:kern w:val="2"/>
      <w:sz w:val="18"/>
      <w:szCs w:val="18"/>
      <w:lang w:val="en-US" w:eastAsia="zh-CN" w:bidi="ar-SA"/>
    </w:rPr>
  </w:style>
  <w:style w:type="character" w:customStyle="1" w:styleId="57">
    <w:name w:val="Char Char2"/>
    <w:basedOn w:val="43"/>
    <w:semiHidden/>
    <w:locked/>
    <w:uiPriority w:val="0"/>
    <w:rPr>
      <w:rFonts w:ascii="Calibri" w:hAnsi="Calibri" w:eastAsia="宋体"/>
      <w:kern w:val="2"/>
      <w:sz w:val="18"/>
      <w:szCs w:val="18"/>
      <w:lang w:val="en-US" w:eastAsia="zh-CN" w:bidi="ar-SA"/>
    </w:rPr>
  </w:style>
  <w:style w:type="character" w:customStyle="1" w:styleId="58">
    <w:name w:val="日期 Char"/>
    <w:basedOn w:val="43"/>
    <w:link w:val="25"/>
    <w:uiPriority w:val="0"/>
    <w:rPr>
      <w:rFonts w:ascii="仿宋_GB2312" w:eastAsia="仿宋_GB2312"/>
      <w:kern w:val="2"/>
      <w:sz w:val="32"/>
      <w:szCs w:val="24"/>
      <w:lang w:val="en-US" w:eastAsia="zh-CN" w:bidi="ar-SA"/>
    </w:rPr>
  </w:style>
  <w:style w:type="paragraph" w:customStyle="1" w:styleId="59">
    <w:name w:val="Char"/>
    <w:basedOn w:val="1"/>
    <w:autoRedefine/>
    <w:uiPriority w:val="0"/>
    <w:pPr>
      <w:spacing w:before="100" w:beforeAutospacing="1" w:after="100" w:afterAutospacing="1"/>
    </w:pPr>
    <w:rPr>
      <w:rFonts w:ascii="仿宋_GB2312" w:eastAsia="宋体"/>
      <w:b/>
      <w:sz w:val="21"/>
      <w:szCs w:val="32"/>
    </w:rPr>
  </w:style>
  <w:style w:type="paragraph" w:customStyle="1" w:styleId="60">
    <w:name w:val="Char Char Char Char"/>
    <w:basedOn w:val="1"/>
    <w:autoRedefine/>
    <w:qFormat/>
    <w:uiPriority w:val="0"/>
    <w:pPr>
      <w:spacing w:line="324" w:lineRule="auto"/>
      <w:ind w:right="-43"/>
      <w:jc w:val="center"/>
    </w:pPr>
    <w:rPr>
      <w:rFonts w:eastAsia="方正小标宋_GBK"/>
      <w:sz w:val="44"/>
      <w:szCs w:val="32"/>
    </w:rPr>
  </w:style>
  <w:style w:type="paragraph" w:customStyle="1" w:styleId="61">
    <w:name w:val="Char Char Char Char1"/>
    <w:basedOn w:val="1"/>
    <w:uiPriority w:val="0"/>
    <w:rPr>
      <w:rFonts w:eastAsia="仿宋_GB2312"/>
      <w:szCs w:val="30"/>
    </w:rPr>
  </w:style>
  <w:style w:type="character" w:customStyle="1" w:styleId="62">
    <w:name w:val="批注框文本 Char"/>
    <w:basedOn w:val="43"/>
    <w:link w:val="27"/>
    <w:semiHidden/>
    <w:qFormat/>
    <w:uiPriority w:val="0"/>
    <w:rPr>
      <w:rFonts w:eastAsia="方正仿宋简体"/>
      <w:kern w:val="2"/>
      <w:sz w:val="18"/>
      <w:szCs w:val="18"/>
      <w:lang w:val="en-US" w:eastAsia="zh-CN" w:bidi="ar-SA"/>
    </w:rPr>
  </w:style>
  <w:style w:type="character" w:customStyle="1" w:styleId="63">
    <w:name w:val="Balloon Text Char"/>
    <w:basedOn w:val="43"/>
    <w:semiHidden/>
    <w:locked/>
    <w:uiPriority w:val="0"/>
    <w:rPr>
      <w:rFonts w:eastAsia="方正仿宋简体"/>
      <w:kern w:val="2"/>
      <w:sz w:val="18"/>
      <w:szCs w:val="18"/>
      <w:lang w:val="en-US" w:eastAsia="zh-CN" w:bidi="ar-SA"/>
    </w:rPr>
  </w:style>
  <w:style w:type="character" w:customStyle="1" w:styleId="64">
    <w:name w:val="正文文本 Char"/>
    <w:basedOn w:val="43"/>
    <w:link w:val="18"/>
    <w:uiPriority w:val="0"/>
    <w:rPr>
      <w:rFonts w:eastAsia="方正书宋_GBK"/>
      <w:w w:val="90"/>
      <w:kern w:val="2"/>
      <w:sz w:val="18"/>
      <w:szCs w:val="22"/>
      <w:lang w:val="en-US" w:eastAsia="zh-CN" w:bidi="ar-SA"/>
    </w:rPr>
  </w:style>
  <w:style w:type="paragraph" w:customStyle="1" w:styleId="65">
    <w:name w:val="font5"/>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66">
    <w:name w:val="font6"/>
    <w:basedOn w:val="1"/>
    <w:uiPriority w:val="0"/>
    <w:pPr>
      <w:widowControl/>
      <w:spacing w:before="100" w:beforeAutospacing="1" w:after="100" w:afterAutospacing="1"/>
      <w:jc w:val="left"/>
    </w:pPr>
    <w:rPr>
      <w:rFonts w:hint="eastAsia" w:ascii="方正仿宋_GBK" w:hAnsi="Arial Unicode MS" w:eastAsia="方正仿宋_GBK"/>
      <w:kern w:val="0"/>
      <w:sz w:val="20"/>
    </w:rPr>
  </w:style>
  <w:style w:type="paragraph" w:customStyle="1" w:styleId="67">
    <w:name w:val="font7"/>
    <w:basedOn w:val="1"/>
    <w:qFormat/>
    <w:uiPriority w:val="0"/>
    <w:pPr>
      <w:widowControl/>
      <w:spacing w:before="100" w:beforeAutospacing="1" w:after="100" w:afterAutospacing="1"/>
      <w:jc w:val="left"/>
    </w:pPr>
    <w:rPr>
      <w:rFonts w:hint="eastAsia" w:ascii="方正仿宋_GBK" w:hAnsi="Arial Unicode MS" w:eastAsia="方正仿宋_GBK"/>
      <w:kern w:val="0"/>
      <w:sz w:val="16"/>
      <w:szCs w:val="16"/>
    </w:rPr>
  </w:style>
  <w:style w:type="paragraph" w:customStyle="1" w:styleId="68">
    <w:name w:val="font8"/>
    <w:basedOn w:val="1"/>
    <w:qFormat/>
    <w:uiPriority w:val="0"/>
    <w:pPr>
      <w:widowControl/>
      <w:spacing w:before="100" w:beforeAutospacing="1" w:after="100" w:afterAutospacing="1"/>
      <w:jc w:val="left"/>
    </w:pPr>
    <w:rPr>
      <w:rFonts w:eastAsia="宋体"/>
      <w:kern w:val="0"/>
      <w:sz w:val="20"/>
    </w:rPr>
  </w:style>
  <w:style w:type="paragraph" w:customStyle="1" w:styleId="69">
    <w:name w:val="font9"/>
    <w:basedOn w:val="1"/>
    <w:uiPriority w:val="0"/>
    <w:pPr>
      <w:widowControl/>
      <w:spacing w:before="100" w:beforeAutospacing="1" w:after="100" w:afterAutospacing="1"/>
      <w:jc w:val="left"/>
    </w:pPr>
    <w:rPr>
      <w:rFonts w:eastAsia="宋体"/>
      <w:kern w:val="0"/>
      <w:sz w:val="16"/>
      <w:szCs w:val="16"/>
    </w:rPr>
  </w:style>
  <w:style w:type="paragraph" w:customStyle="1" w:styleId="70">
    <w:name w:val="font10"/>
    <w:basedOn w:val="1"/>
    <w:uiPriority w:val="0"/>
    <w:pPr>
      <w:widowControl/>
      <w:spacing w:before="100" w:beforeAutospacing="1" w:after="100" w:afterAutospacing="1"/>
      <w:jc w:val="left"/>
    </w:pPr>
    <w:rPr>
      <w:rFonts w:eastAsia="宋体"/>
      <w:b/>
      <w:bCs/>
      <w:kern w:val="0"/>
      <w:sz w:val="20"/>
    </w:rPr>
  </w:style>
  <w:style w:type="paragraph" w:customStyle="1" w:styleId="7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方正仿宋_GBK" w:hAnsi="Arial Unicode MS" w:eastAsia="方正仿宋_GBK"/>
      <w:kern w:val="0"/>
      <w:sz w:val="20"/>
    </w:rPr>
  </w:style>
  <w:style w:type="paragraph" w:customStyle="1" w:styleId="7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7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16"/>
      <w:szCs w:val="16"/>
    </w:rPr>
  </w:style>
  <w:style w:type="paragraph" w:customStyle="1" w:styleId="74">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方正仿宋_GBK" w:hAnsi="Arial Unicode MS" w:eastAsia="方正仿宋_GBK"/>
      <w:kern w:val="0"/>
      <w:sz w:val="20"/>
    </w:rPr>
  </w:style>
  <w:style w:type="paragraph" w:customStyle="1" w:styleId="7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76">
    <w:name w:val="xl73"/>
    <w:basedOn w:val="1"/>
    <w:uiPriority w:val="0"/>
    <w:pPr>
      <w:widowControl/>
      <w:spacing w:before="100" w:beforeAutospacing="1" w:after="100" w:afterAutospacing="1"/>
      <w:jc w:val="center"/>
      <w:textAlignment w:val="center"/>
    </w:pPr>
    <w:rPr>
      <w:rFonts w:eastAsia="宋体"/>
      <w:kern w:val="0"/>
      <w:sz w:val="20"/>
    </w:rPr>
  </w:style>
  <w:style w:type="paragraph" w:customStyle="1" w:styleId="77">
    <w:name w:val="xl74"/>
    <w:basedOn w:val="1"/>
    <w:qFormat/>
    <w:uiPriority w:val="0"/>
    <w:pPr>
      <w:widowControl/>
      <w:spacing w:before="100" w:beforeAutospacing="1" w:after="100" w:afterAutospacing="1"/>
      <w:jc w:val="left"/>
      <w:textAlignment w:val="center"/>
    </w:pPr>
    <w:rPr>
      <w:rFonts w:eastAsia="宋体"/>
      <w:kern w:val="0"/>
      <w:sz w:val="20"/>
    </w:rPr>
  </w:style>
  <w:style w:type="paragraph" w:customStyle="1" w:styleId="78">
    <w:name w:val="xl75"/>
    <w:basedOn w:val="1"/>
    <w:uiPriority w:val="0"/>
    <w:pPr>
      <w:widowControl/>
      <w:spacing w:before="100" w:beforeAutospacing="1" w:after="100" w:afterAutospacing="1"/>
      <w:jc w:val="center"/>
      <w:textAlignment w:val="center"/>
    </w:pPr>
    <w:rPr>
      <w:rFonts w:eastAsia="宋体"/>
      <w:kern w:val="0"/>
      <w:sz w:val="20"/>
    </w:rPr>
  </w:style>
  <w:style w:type="paragraph" w:customStyle="1" w:styleId="79">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80">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b/>
      <w:bCs/>
      <w:kern w:val="0"/>
      <w:sz w:val="20"/>
    </w:rPr>
  </w:style>
  <w:style w:type="paragraph" w:customStyle="1" w:styleId="81">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b/>
      <w:bCs/>
      <w:kern w:val="0"/>
      <w:sz w:val="20"/>
    </w:rPr>
  </w:style>
  <w:style w:type="paragraph" w:customStyle="1" w:styleId="82">
    <w:name w:val="xl79"/>
    <w:basedOn w:val="1"/>
    <w:uiPriority w:val="0"/>
    <w:pPr>
      <w:widowControl/>
      <w:spacing w:before="100" w:beforeAutospacing="1" w:after="100" w:afterAutospacing="1"/>
      <w:jc w:val="center"/>
      <w:textAlignment w:val="center"/>
    </w:pPr>
    <w:rPr>
      <w:rFonts w:eastAsia="宋体"/>
      <w:b/>
      <w:bCs/>
      <w:kern w:val="0"/>
      <w:sz w:val="20"/>
    </w:rPr>
  </w:style>
  <w:style w:type="paragraph" w:customStyle="1" w:styleId="83">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rPr>
  </w:style>
  <w:style w:type="paragraph" w:customStyle="1" w:styleId="84">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b/>
      <w:bCs/>
      <w:kern w:val="0"/>
      <w:sz w:val="20"/>
    </w:rPr>
  </w:style>
  <w:style w:type="paragraph" w:customStyle="1" w:styleId="85">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86">
    <w:name w:val="xl83"/>
    <w:basedOn w:val="1"/>
    <w:uiPriority w:val="0"/>
    <w:pPr>
      <w:widowControl/>
      <w:spacing w:before="100" w:beforeAutospacing="1" w:after="100" w:afterAutospacing="1"/>
      <w:jc w:val="center"/>
      <w:textAlignment w:val="center"/>
    </w:pPr>
    <w:rPr>
      <w:rFonts w:eastAsia="宋体"/>
      <w:kern w:val="0"/>
      <w:sz w:val="20"/>
    </w:rPr>
  </w:style>
  <w:style w:type="paragraph" w:customStyle="1" w:styleId="87">
    <w:name w:val="xl84"/>
    <w:basedOn w:val="1"/>
    <w:uiPriority w:val="0"/>
    <w:pPr>
      <w:widowControl/>
      <w:spacing w:before="100" w:beforeAutospacing="1" w:after="100" w:afterAutospacing="1"/>
      <w:jc w:val="center"/>
      <w:textAlignment w:val="center"/>
    </w:pPr>
    <w:rPr>
      <w:rFonts w:hint="eastAsia" w:ascii="方正小标宋_GBK" w:hAnsi="Arial Unicode MS" w:eastAsia="方正小标宋_GBK"/>
      <w:kern w:val="0"/>
      <w:sz w:val="20"/>
    </w:rPr>
  </w:style>
  <w:style w:type="paragraph" w:customStyle="1" w:styleId="88">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89">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90">
    <w:name w:val="xl87"/>
    <w:basedOn w:val="1"/>
    <w:uiPriority w:val="0"/>
    <w:pPr>
      <w:widowControl/>
      <w:spacing w:before="100" w:beforeAutospacing="1" w:after="100" w:afterAutospacing="1"/>
      <w:jc w:val="left"/>
      <w:textAlignment w:val="center"/>
    </w:pPr>
    <w:rPr>
      <w:rFonts w:eastAsia="宋体"/>
      <w:kern w:val="0"/>
      <w:sz w:val="20"/>
    </w:rPr>
  </w:style>
  <w:style w:type="paragraph" w:customStyle="1" w:styleId="91">
    <w:name w:val="xl88"/>
    <w:basedOn w:val="1"/>
    <w:uiPriority w:val="0"/>
    <w:pPr>
      <w:widowControl/>
      <w:spacing w:before="100" w:beforeAutospacing="1" w:after="100" w:afterAutospacing="1"/>
      <w:jc w:val="left"/>
      <w:textAlignment w:val="center"/>
    </w:pPr>
    <w:rPr>
      <w:rFonts w:eastAsia="宋体"/>
      <w:kern w:val="0"/>
      <w:sz w:val="20"/>
    </w:rPr>
  </w:style>
  <w:style w:type="paragraph" w:customStyle="1" w:styleId="92">
    <w:name w:val="xl89"/>
    <w:basedOn w:val="1"/>
    <w:qFormat/>
    <w:uiPriority w:val="0"/>
    <w:pPr>
      <w:widowControl/>
      <w:spacing w:before="100" w:beforeAutospacing="1" w:after="100" w:afterAutospacing="1"/>
      <w:jc w:val="left"/>
    </w:pPr>
    <w:rPr>
      <w:rFonts w:eastAsia="宋体"/>
      <w:kern w:val="0"/>
      <w:sz w:val="20"/>
    </w:rPr>
  </w:style>
  <w:style w:type="paragraph" w:customStyle="1" w:styleId="93">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94">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95">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96">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97">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98">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99">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rPr>
  </w:style>
  <w:style w:type="paragraph" w:customStyle="1" w:styleId="100">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方正仿宋_GBK" w:hAnsi="Arial Unicode MS" w:eastAsia="方正仿宋_GBK"/>
      <w:kern w:val="0"/>
      <w:sz w:val="20"/>
    </w:rPr>
  </w:style>
  <w:style w:type="paragraph" w:customStyle="1" w:styleId="101">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102">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103">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104">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105">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rPr>
  </w:style>
  <w:style w:type="paragraph" w:customStyle="1" w:styleId="106">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107">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108">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rPr>
  </w:style>
  <w:style w:type="paragraph" w:customStyle="1" w:styleId="109">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110">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111">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112">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113">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114">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方正仿宋_GBK" w:hAnsi="Arial Unicode MS" w:eastAsia="方正仿宋_GBK"/>
      <w:kern w:val="0"/>
      <w:sz w:val="20"/>
    </w:rPr>
  </w:style>
  <w:style w:type="paragraph" w:customStyle="1" w:styleId="115">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116">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rPr>
  </w:style>
  <w:style w:type="paragraph" w:customStyle="1" w:styleId="117">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118">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119">
    <w:name w:val="xl1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120">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kern w:val="0"/>
      <w:sz w:val="20"/>
    </w:rPr>
  </w:style>
  <w:style w:type="paragraph" w:customStyle="1" w:styleId="121">
    <w:name w:val="xl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122">
    <w:name w:val="xl1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123">
    <w:name w:val="xl1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方正仿宋_GBK" w:hAnsi="Arial Unicode MS" w:eastAsia="方正仿宋_GBK"/>
      <w:b/>
      <w:bCs/>
      <w:kern w:val="0"/>
      <w:sz w:val="20"/>
    </w:rPr>
  </w:style>
  <w:style w:type="paragraph" w:customStyle="1" w:styleId="124">
    <w:name w:val="xl121"/>
    <w:basedOn w:val="1"/>
    <w:uiPriority w:val="0"/>
    <w:pPr>
      <w:widowControl/>
      <w:spacing w:before="100" w:beforeAutospacing="1" w:after="100" w:afterAutospacing="1"/>
      <w:jc w:val="right"/>
      <w:textAlignment w:val="center"/>
    </w:pPr>
    <w:rPr>
      <w:rFonts w:hint="eastAsia" w:ascii="方正仿宋_GBK" w:hAnsi="Arial Unicode MS" w:eastAsia="方正仿宋_GBK"/>
      <w:kern w:val="0"/>
      <w:sz w:val="20"/>
    </w:rPr>
  </w:style>
  <w:style w:type="paragraph" w:customStyle="1" w:styleId="125">
    <w:name w:val="正文列举"/>
    <w:basedOn w:val="1"/>
    <w:uiPriority w:val="0"/>
    <w:pPr>
      <w:spacing w:afterLines="50" w:line="360" w:lineRule="exact"/>
      <w:ind w:left="840"/>
    </w:pPr>
    <w:rPr>
      <w:rFonts w:ascii="Calibri" w:hAnsi="Calibri" w:eastAsia="微软雅黑"/>
      <w:sz w:val="21"/>
      <w:szCs w:val="22"/>
    </w:rPr>
  </w:style>
  <w:style w:type="paragraph" w:customStyle="1" w:styleId="126">
    <w:name w:val="[基本段落]"/>
    <w:basedOn w:val="1"/>
    <w:uiPriority w:val="0"/>
    <w:pPr>
      <w:autoSpaceDE w:val="0"/>
      <w:autoSpaceDN w:val="0"/>
      <w:adjustRightInd w:val="0"/>
      <w:spacing w:line="288" w:lineRule="auto"/>
      <w:textAlignment w:val="center"/>
    </w:pPr>
    <w:rPr>
      <w:rFonts w:ascii="宋体" w:eastAsia="宋体"/>
      <w:color w:val="000000"/>
      <w:kern w:val="0"/>
      <w:sz w:val="24"/>
      <w:szCs w:val="24"/>
      <w:lang w:val="zh-CN"/>
    </w:rPr>
  </w:style>
  <w:style w:type="paragraph" w:customStyle="1" w:styleId="127">
    <w:name w:val="xl25"/>
    <w:basedOn w:val="1"/>
    <w:uiPriority w:val="0"/>
    <w:pPr>
      <w:widowControl/>
      <w:spacing w:before="100" w:beforeAutospacing="1" w:after="100" w:afterAutospacing="1"/>
      <w:jc w:val="center"/>
      <w:textAlignment w:val="center"/>
    </w:pPr>
    <w:rPr>
      <w:rFonts w:ascii="Arial Unicode MS" w:hAnsi="Arial Unicode MS" w:eastAsia="宋体"/>
      <w:kern w:val="0"/>
      <w:sz w:val="20"/>
    </w:rPr>
  </w:style>
  <w:style w:type="paragraph" w:customStyle="1" w:styleId="128">
    <w:name w:val="xl26"/>
    <w:basedOn w:val="1"/>
    <w:uiPriority w:val="0"/>
    <w:pPr>
      <w:widowControl/>
      <w:spacing w:before="100" w:beforeAutospacing="1" w:after="100" w:afterAutospacing="1"/>
      <w:jc w:val="left"/>
      <w:textAlignment w:val="center"/>
    </w:pPr>
    <w:rPr>
      <w:rFonts w:ascii="Arial Unicode MS" w:hAnsi="Arial Unicode MS" w:eastAsia="宋体"/>
      <w:kern w:val="0"/>
      <w:sz w:val="20"/>
    </w:rPr>
  </w:style>
  <w:style w:type="paragraph" w:customStyle="1" w:styleId="129">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kern w:val="0"/>
      <w:sz w:val="20"/>
    </w:rPr>
  </w:style>
  <w:style w:type="paragraph" w:customStyle="1" w:styleId="130">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kern w:val="0"/>
      <w:sz w:val="20"/>
    </w:rPr>
  </w:style>
  <w:style w:type="paragraph" w:customStyle="1" w:styleId="131">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b/>
      <w:bCs/>
      <w:kern w:val="0"/>
      <w:sz w:val="24"/>
      <w:szCs w:val="24"/>
    </w:rPr>
  </w:style>
  <w:style w:type="paragraph" w:customStyle="1" w:styleId="132">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b/>
      <w:bCs/>
      <w:kern w:val="0"/>
      <w:sz w:val="24"/>
      <w:szCs w:val="24"/>
    </w:rPr>
  </w:style>
  <w:style w:type="paragraph" w:customStyle="1" w:styleId="133">
    <w:name w:val="xl31"/>
    <w:basedOn w:val="1"/>
    <w:uiPriority w:val="0"/>
    <w:pPr>
      <w:widowControl/>
      <w:spacing w:before="100" w:beforeAutospacing="1" w:after="100" w:afterAutospacing="1"/>
      <w:jc w:val="left"/>
      <w:textAlignment w:val="center"/>
    </w:pPr>
    <w:rPr>
      <w:rFonts w:ascii="Arial Unicode MS" w:hAnsi="Arial Unicode MS" w:eastAsia="宋体"/>
      <w:kern w:val="0"/>
      <w:sz w:val="20"/>
    </w:rPr>
  </w:style>
  <w:style w:type="paragraph" w:customStyle="1" w:styleId="134">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b/>
      <w:bCs/>
      <w:kern w:val="0"/>
      <w:sz w:val="20"/>
    </w:rPr>
  </w:style>
  <w:style w:type="paragraph" w:customStyle="1" w:styleId="135">
    <w:name w:val="xl33"/>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b/>
      <w:bCs/>
      <w:kern w:val="0"/>
      <w:sz w:val="20"/>
    </w:rPr>
  </w:style>
  <w:style w:type="paragraph" w:customStyle="1" w:styleId="136">
    <w:name w:val="xl34"/>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kern w:val="0"/>
      <w:sz w:val="20"/>
    </w:rPr>
  </w:style>
  <w:style w:type="paragraph" w:customStyle="1" w:styleId="137">
    <w:name w:val="xl3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kern w:val="0"/>
      <w:sz w:val="20"/>
    </w:rPr>
  </w:style>
  <w:style w:type="paragraph" w:customStyle="1" w:styleId="138">
    <w:name w:val="xl36"/>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Arial Unicode MS" w:hAnsi="Arial Unicode MS" w:eastAsia="宋体"/>
      <w:kern w:val="0"/>
      <w:sz w:val="20"/>
    </w:rPr>
  </w:style>
  <w:style w:type="paragraph" w:customStyle="1" w:styleId="139">
    <w:name w:val="xl3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b/>
      <w:bCs/>
      <w:kern w:val="0"/>
      <w:sz w:val="20"/>
    </w:rPr>
  </w:style>
  <w:style w:type="paragraph" w:customStyle="1" w:styleId="140">
    <w:name w:val="xl38"/>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Arial Unicode MS" w:hAnsi="Arial Unicode MS" w:eastAsia="宋体"/>
      <w:b/>
      <w:bCs/>
      <w:kern w:val="0"/>
      <w:sz w:val="20"/>
    </w:rPr>
  </w:style>
  <w:style w:type="paragraph" w:customStyle="1" w:styleId="141">
    <w:name w:val="xl39"/>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b/>
      <w:bCs/>
      <w:kern w:val="0"/>
      <w:sz w:val="20"/>
    </w:rPr>
  </w:style>
  <w:style w:type="paragraph" w:customStyle="1" w:styleId="142">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b/>
      <w:bCs/>
      <w:kern w:val="0"/>
      <w:sz w:val="20"/>
    </w:rPr>
  </w:style>
  <w:style w:type="paragraph" w:customStyle="1" w:styleId="143">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b/>
      <w:bCs/>
      <w:kern w:val="0"/>
      <w:sz w:val="20"/>
    </w:rPr>
  </w:style>
  <w:style w:type="paragraph" w:customStyle="1" w:styleId="144">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kern w:val="0"/>
      <w:sz w:val="20"/>
    </w:rPr>
  </w:style>
  <w:style w:type="paragraph" w:customStyle="1" w:styleId="145">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b/>
      <w:bCs/>
      <w:kern w:val="0"/>
      <w:sz w:val="20"/>
    </w:rPr>
  </w:style>
  <w:style w:type="paragraph" w:customStyle="1" w:styleId="146">
    <w:name w:val="xl44"/>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kern w:val="0"/>
      <w:sz w:val="20"/>
    </w:rPr>
  </w:style>
  <w:style w:type="paragraph" w:customStyle="1" w:styleId="147">
    <w:name w:val="font11"/>
    <w:basedOn w:val="1"/>
    <w:uiPriority w:val="0"/>
    <w:pPr>
      <w:widowControl/>
      <w:spacing w:before="100" w:beforeAutospacing="1" w:after="100" w:afterAutospacing="1"/>
      <w:jc w:val="left"/>
    </w:pPr>
    <w:rPr>
      <w:rFonts w:eastAsia="宋体"/>
      <w:b/>
      <w:bCs/>
      <w:kern w:val="0"/>
      <w:sz w:val="24"/>
      <w:szCs w:val="24"/>
    </w:rPr>
  </w:style>
  <w:style w:type="paragraph" w:customStyle="1" w:styleId="148">
    <w:name w:val="font12"/>
    <w:basedOn w:val="1"/>
    <w:uiPriority w:val="0"/>
    <w:pPr>
      <w:widowControl/>
      <w:spacing w:before="100" w:beforeAutospacing="1" w:after="100" w:afterAutospacing="1"/>
      <w:jc w:val="left"/>
    </w:pPr>
    <w:rPr>
      <w:rFonts w:hint="eastAsia" w:ascii="宋体" w:hAnsi="宋体" w:eastAsia="宋体"/>
      <w:b/>
      <w:bCs/>
      <w:kern w:val="0"/>
      <w:sz w:val="24"/>
      <w:szCs w:val="24"/>
    </w:rPr>
  </w:style>
  <w:style w:type="paragraph" w:customStyle="1" w:styleId="149">
    <w:name w:val="font13"/>
    <w:basedOn w:val="1"/>
    <w:uiPriority w:val="0"/>
    <w:pPr>
      <w:widowControl/>
      <w:spacing w:before="100" w:beforeAutospacing="1" w:after="100" w:afterAutospacing="1"/>
      <w:jc w:val="left"/>
    </w:pPr>
    <w:rPr>
      <w:rFonts w:hint="eastAsia" w:ascii="方正书宋_GBK" w:hAnsi="Arial Unicode MS" w:eastAsia="方正书宋_GBK"/>
      <w:b/>
      <w:bCs/>
      <w:kern w:val="0"/>
      <w:sz w:val="22"/>
      <w:szCs w:val="22"/>
    </w:rPr>
  </w:style>
  <w:style w:type="paragraph" w:customStyle="1" w:styleId="150">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宋体"/>
      <w:kern w:val="0"/>
      <w:sz w:val="22"/>
      <w:szCs w:val="22"/>
    </w:rPr>
  </w:style>
  <w:style w:type="paragraph" w:customStyle="1" w:styleId="151">
    <w:name w:val="xl6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olor w:val="000000"/>
      <w:kern w:val="0"/>
      <w:sz w:val="22"/>
      <w:szCs w:val="22"/>
    </w:rPr>
  </w:style>
  <w:style w:type="paragraph" w:customStyle="1" w:styleId="152">
    <w:name w:val="xl66"/>
    <w:basedOn w:val="1"/>
    <w:uiPriority w:val="0"/>
    <w:pPr>
      <w:widowControl/>
      <w:spacing w:before="100" w:beforeAutospacing="1" w:after="100" w:afterAutospacing="1"/>
      <w:jc w:val="center"/>
    </w:pPr>
    <w:rPr>
      <w:rFonts w:hint="eastAsia" w:ascii="仿宋_GB2312" w:hAnsi="Arial Unicode MS" w:eastAsia="仿宋_GB2312"/>
      <w:color w:val="000000"/>
      <w:kern w:val="0"/>
      <w:sz w:val="22"/>
      <w:szCs w:val="22"/>
    </w:rPr>
  </w:style>
  <w:style w:type="paragraph" w:customStyle="1" w:styleId="153">
    <w:name w:val="xl6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eastAsia="宋体"/>
      <w:kern w:val="0"/>
      <w:sz w:val="20"/>
    </w:rPr>
  </w:style>
  <w:style w:type="paragraph" w:customStyle="1" w:styleId="154">
    <w:name w:val="xl61"/>
    <w:basedOn w:val="1"/>
    <w:uiPriority w:val="0"/>
    <w:pPr>
      <w:widowControl/>
      <w:spacing w:before="100" w:beforeAutospacing="1" w:after="100" w:afterAutospacing="1"/>
      <w:jc w:val="center"/>
      <w:textAlignment w:val="center"/>
    </w:pPr>
    <w:rPr>
      <w:rFonts w:eastAsia="宋体"/>
      <w:kern w:val="0"/>
      <w:sz w:val="20"/>
    </w:rPr>
  </w:style>
  <w:style w:type="paragraph" w:customStyle="1" w:styleId="155">
    <w:name w:val="xl6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eastAsia="宋体"/>
      <w:kern w:val="0"/>
      <w:sz w:val="22"/>
      <w:szCs w:val="22"/>
    </w:rPr>
  </w:style>
  <w:style w:type="paragraph" w:customStyle="1" w:styleId="156">
    <w:name w:val="xl6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eastAsia="宋体"/>
      <w:kern w:val="0"/>
      <w:sz w:val="22"/>
      <w:szCs w:val="22"/>
    </w:rPr>
  </w:style>
  <w:style w:type="paragraph" w:customStyle="1" w:styleId="157">
    <w:name w:val="xl6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eastAsia="宋体"/>
      <w:b/>
      <w:bCs/>
      <w:kern w:val="0"/>
      <w:sz w:val="22"/>
      <w:szCs w:val="22"/>
    </w:rPr>
  </w:style>
  <w:style w:type="paragraph" w:customStyle="1" w:styleId="158">
    <w:name w:val="xl256"/>
    <w:basedOn w:val="1"/>
    <w:uiPriority w:val="0"/>
    <w:pPr>
      <w:widowControl/>
      <w:spacing w:before="100" w:beforeAutospacing="1" w:after="100" w:afterAutospacing="1"/>
      <w:jc w:val="center"/>
    </w:pPr>
    <w:rPr>
      <w:rFonts w:ascii="Arial Unicode MS" w:hAnsi="Arial Unicode MS" w:eastAsia="宋体"/>
      <w:kern w:val="0"/>
      <w:sz w:val="24"/>
      <w:szCs w:val="24"/>
    </w:rPr>
  </w:style>
  <w:style w:type="paragraph" w:customStyle="1" w:styleId="159">
    <w:name w:val="xl2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kern w:val="0"/>
      <w:sz w:val="24"/>
      <w:szCs w:val="24"/>
    </w:rPr>
  </w:style>
  <w:style w:type="paragraph" w:customStyle="1" w:styleId="160">
    <w:name w:val="xl2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kern w:val="0"/>
      <w:sz w:val="20"/>
    </w:rPr>
  </w:style>
  <w:style w:type="paragraph" w:customStyle="1" w:styleId="161">
    <w:name w:val="xl2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kern w:val="0"/>
      <w:sz w:val="20"/>
    </w:rPr>
  </w:style>
  <w:style w:type="paragraph" w:customStyle="1" w:styleId="162">
    <w:name w:val="xl2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kern w:val="0"/>
      <w:sz w:val="20"/>
    </w:rPr>
  </w:style>
  <w:style w:type="paragraph" w:customStyle="1" w:styleId="163">
    <w:name w:val="xl2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kern w:val="0"/>
      <w:sz w:val="20"/>
    </w:rPr>
  </w:style>
  <w:style w:type="paragraph" w:customStyle="1" w:styleId="164">
    <w:name w:val="xl2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kern w:val="0"/>
      <w:sz w:val="20"/>
    </w:rPr>
  </w:style>
  <w:style w:type="paragraph" w:customStyle="1" w:styleId="165">
    <w:name w:val="xl263"/>
    <w:basedOn w:val="1"/>
    <w:uiPriority w:val="0"/>
    <w:pPr>
      <w:widowControl/>
      <w:spacing w:before="100" w:beforeAutospacing="1" w:after="100" w:afterAutospacing="1"/>
      <w:jc w:val="left"/>
    </w:pPr>
    <w:rPr>
      <w:rFonts w:ascii="Arial Unicode MS" w:hAnsi="Arial Unicode MS" w:eastAsia="宋体"/>
      <w:kern w:val="0"/>
      <w:sz w:val="20"/>
    </w:rPr>
  </w:style>
  <w:style w:type="paragraph" w:customStyle="1" w:styleId="166">
    <w:name w:val="xl2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kern w:val="0"/>
      <w:sz w:val="20"/>
    </w:rPr>
  </w:style>
  <w:style w:type="paragraph" w:customStyle="1" w:styleId="167">
    <w:name w:val="xl2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kern w:val="0"/>
      <w:sz w:val="20"/>
    </w:rPr>
  </w:style>
  <w:style w:type="paragraph" w:customStyle="1" w:styleId="168">
    <w:name w:val="xl2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b/>
      <w:bCs/>
      <w:color w:val="000000"/>
      <w:kern w:val="0"/>
      <w:sz w:val="20"/>
    </w:rPr>
  </w:style>
  <w:style w:type="paragraph" w:customStyle="1" w:styleId="169">
    <w:name w:val="xl267"/>
    <w:basedOn w:val="1"/>
    <w:uiPriority w:val="0"/>
    <w:pPr>
      <w:widowControl/>
      <w:spacing w:before="100" w:beforeAutospacing="1" w:after="100" w:afterAutospacing="1"/>
      <w:jc w:val="center"/>
      <w:textAlignment w:val="top"/>
    </w:pPr>
    <w:rPr>
      <w:rFonts w:ascii="Arial Unicode MS" w:hAnsi="Arial Unicode MS" w:eastAsia="宋体"/>
      <w:color w:val="000000"/>
      <w:kern w:val="0"/>
      <w:sz w:val="22"/>
      <w:szCs w:val="22"/>
    </w:rPr>
  </w:style>
  <w:style w:type="paragraph" w:customStyle="1" w:styleId="170">
    <w:name w:val="xl268"/>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b/>
      <w:bCs/>
      <w:color w:val="000000"/>
      <w:kern w:val="0"/>
      <w:sz w:val="20"/>
    </w:rPr>
  </w:style>
  <w:style w:type="paragraph" w:customStyle="1" w:styleId="171">
    <w:name w:val="xl2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b/>
      <w:bCs/>
      <w:color w:val="000000"/>
      <w:kern w:val="0"/>
      <w:sz w:val="20"/>
    </w:rPr>
  </w:style>
  <w:style w:type="paragraph" w:customStyle="1" w:styleId="172">
    <w:name w:val="xl270"/>
    <w:basedOn w:val="1"/>
    <w:uiPriority w:val="0"/>
    <w:pPr>
      <w:widowControl/>
      <w:spacing w:before="100" w:beforeAutospacing="1" w:after="100" w:afterAutospacing="1"/>
      <w:jc w:val="center"/>
      <w:textAlignment w:val="center"/>
    </w:pPr>
    <w:rPr>
      <w:rFonts w:hint="eastAsia" w:ascii="黑体" w:hAnsi="Arial Unicode MS" w:eastAsia="黑体"/>
      <w:color w:val="000000"/>
      <w:kern w:val="0"/>
      <w:sz w:val="40"/>
      <w:szCs w:val="40"/>
    </w:rPr>
  </w:style>
  <w:style w:type="paragraph" w:customStyle="1" w:styleId="173">
    <w:name w:val="xl271"/>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宋体"/>
      <w:b/>
      <w:bCs/>
      <w:color w:val="000000"/>
      <w:kern w:val="0"/>
      <w:sz w:val="20"/>
    </w:rPr>
  </w:style>
  <w:style w:type="paragraph" w:customStyle="1" w:styleId="174">
    <w:name w:val="xl272"/>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b/>
      <w:bCs/>
      <w:color w:val="000000"/>
      <w:kern w:val="0"/>
      <w:sz w:val="20"/>
    </w:rPr>
  </w:style>
  <w:style w:type="paragraph" w:customStyle="1" w:styleId="175">
    <w:name w:val="xl273"/>
    <w:basedOn w:val="1"/>
    <w:uiPriority w:val="0"/>
    <w:pPr>
      <w:widowControl/>
      <w:pBdr>
        <w:bottom w:val="single" w:color="auto" w:sz="4" w:space="0"/>
      </w:pBdr>
      <w:spacing w:before="100" w:beforeAutospacing="1" w:after="100" w:afterAutospacing="1"/>
      <w:jc w:val="right"/>
      <w:textAlignment w:val="center"/>
    </w:pPr>
    <w:rPr>
      <w:rFonts w:ascii="Arial Unicode MS" w:hAnsi="Arial Unicode MS" w:eastAsia="宋体"/>
      <w:color w:val="000000"/>
      <w:kern w:val="0"/>
      <w:sz w:val="24"/>
      <w:szCs w:val="24"/>
    </w:rPr>
  </w:style>
  <w:style w:type="paragraph" w:customStyle="1" w:styleId="176">
    <w:name w:val="xl27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宋体"/>
      <w:b/>
      <w:bCs/>
      <w:color w:val="000000"/>
      <w:kern w:val="0"/>
      <w:sz w:val="20"/>
    </w:rPr>
  </w:style>
  <w:style w:type="paragraph" w:customStyle="1" w:styleId="177">
    <w:name w:val="xl275"/>
    <w:basedOn w:val="1"/>
    <w:uiPriority w:val="0"/>
    <w:pPr>
      <w:widowControl/>
      <w:pBdr>
        <w:top w:val="single" w:color="auto" w:sz="4" w:space="0"/>
        <w:left w:val="single" w:color="auto" w:sz="4" w:space="0"/>
      </w:pBdr>
      <w:spacing w:before="100" w:beforeAutospacing="1" w:after="100" w:afterAutospacing="1"/>
      <w:jc w:val="center"/>
      <w:textAlignment w:val="center"/>
    </w:pPr>
    <w:rPr>
      <w:rFonts w:ascii="Arial Unicode MS" w:hAnsi="Arial Unicode MS" w:eastAsia="宋体"/>
      <w:b/>
      <w:bCs/>
      <w:color w:val="000000"/>
      <w:kern w:val="0"/>
      <w:sz w:val="20"/>
    </w:rPr>
  </w:style>
  <w:style w:type="paragraph" w:customStyle="1" w:styleId="178">
    <w:name w:val="xl276"/>
    <w:basedOn w:val="1"/>
    <w:uiPriority w:val="0"/>
    <w:pPr>
      <w:widowControl/>
      <w:pBdr>
        <w:top w:val="single" w:color="auto" w:sz="4" w:space="0"/>
        <w:right w:val="single" w:color="auto" w:sz="4" w:space="0"/>
      </w:pBdr>
      <w:spacing w:before="100" w:beforeAutospacing="1" w:after="100" w:afterAutospacing="1"/>
      <w:jc w:val="center"/>
      <w:textAlignment w:val="center"/>
    </w:pPr>
    <w:rPr>
      <w:rFonts w:ascii="Arial Unicode MS" w:hAnsi="Arial Unicode MS" w:eastAsia="宋体"/>
      <w:b/>
      <w:bCs/>
      <w:color w:val="000000"/>
      <w:kern w:val="0"/>
      <w:sz w:val="20"/>
    </w:rPr>
  </w:style>
  <w:style w:type="paragraph" w:customStyle="1" w:styleId="179">
    <w:name w:val="xl277"/>
    <w:basedOn w:val="1"/>
    <w:uiPriority w:val="0"/>
    <w:pPr>
      <w:widowControl/>
      <w:spacing w:before="100" w:beforeAutospacing="1" w:after="100" w:afterAutospacing="1"/>
      <w:jc w:val="center"/>
      <w:textAlignment w:val="center"/>
    </w:pPr>
    <w:rPr>
      <w:rFonts w:ascii="Arial Unicode MS" w:hAnsi="Arial Unicode MS" w:eastAsia="宋体"/>
      <w:kern w:val="0"/>
      <w:sz w:val="24"/>
      <w:szCs w:val="24"/>
    </w:rPr>
  </w:style>
  <w:style w:type="paragraph" w:customStyle="1" w:styleId="180">
    <w:name w:val="xl278"/>
    <w:basedOn w:val="1"/>
    <w:uiPriority w:val="0"/>
    <w:pPr>
      <w:widowControl/>
      <w:pBdr>
        <w:left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宋体"/>
      <w:kern w:val="0"/>
      <w:sz w:val="20"/>
    </w:rPr>
  </w:style>
  <w:style w:type="paragraph" w:customStyle="1" w:styleId="181">
    <w:name w:val="xl2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kern w:val="0"/>
      <w:sz w:val="24"/>
      <w:szCs w:val="24"/>
    </w:rPr>
  </w:style>
  <w:style w:type="paragraph" w:customStyle="1" w:styleId="182">
    <w:name w:val="xl280"/>
    <w:basedOn w:val="1"/>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宋体"/>
      <w:kern w:val="0"/>
      <w:sz w:val="20"/>
    </w:rPr>
  </w:style>
  <w:style w:type="paragraph" w:customStyle="1" w:styleId="183">
    <w:name w:val="xl281"/>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Arial Unicode MS" w:eastAsia="黑体"/>
      <w:kern w:val="0"/>
      <w:sz w:val="24"/>
      <w:szCs w:val="24"/>
    </w:rPr>
  </w:style>
  <w:style w:type="paragraph" w:customStyle="1" w:styleId="184">
    <w:name w:val="xl28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kern w:val="0"/>
      <w:sz w:val="24"/>
      <w:szCs w:val="24"/>
    </w:rPr>
  </w:style>
  <w:style w:type="paragraph" w:customStyle="1" w:styleId="185">
    <w:name w:val="xl283"/>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Arial Unicode MS" w:hAnsi="Arial Unicode MS" w:eastAsia="宋体"/>
      <w:kern w:val="0"/>
      <w:sz w:val="20"/>
    </w:rPr>
  </w:style>
  <w:style w:type="paragraph" w:customStyle="1" w:styleId="186">
    <w:name w:val="xl284"/>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kern w:val="0"/>
      <w:sz w:val="20"/>
    </w:rPr>
  </w:style>
  <w:style w:type="paragraph" w:customStyle="1" w:styleId="187">
    <w:name w:val="xl285"/>
    <w:basedOn w:val="1"/>
    <w:uiPriority w:val="0"/>
    <w:pPr>
      <w:widowControl/>
      <w:pBdr>
        <w:bottom w:val="single" w:color="auto" w:sz="4" w:space="0"/>
      </w:pBdr>
      <w:spacing w:before="100" w:beforeAutospacing="1" w:after="100" w:afterAutospacing="1"/>
      <w:jc w:val="right"/>
      <w:textAlignment w:val="center"/>
    </w:pPr>
    <w:rPr>
      <w:rFonts w:ascii="Arial Unicode MS" w:hAnsi="Arial Unicode MS" w:eastAsia="宋体"/>
      <w:kern w:val="0"/>
      <w:sz w:val="24"/>
      <w:szCs w:val="24"/>
    </w:rPr>
  </w:style>
  <w:style w:type="paragraph" w:customStyle="1" w:styleId="188">
    <w:name w:val="标题1"/>
    <w:basedOn w:val="1"/>
    <w:next w:val="1"/>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189">
    <w:name w:val="标题3"/>
    <w:basedOn w:val="1"/>
    <w:next w:val="1"/>
    <w:uiPriority w:val="0"/>
    <w:pPr>
      <w:autoSpaceDE w:val="0"/>
      <w:autoSpaceDN w:val="0"/>
      <w:snapToGrid w:val="0"/>
      <w:spacing w:line="590" w:lineRule="atLeast"/>
      <w:ind w:firstLine="624"/>
    </w:pPr>
    <w:rPr>
      <w:rFonts w:eastAsia="方正黑体_GBK"/>
      <w:snapToGrid w:val="0"/>
      <w:kern w:val="0"/>
      <w:sz w:val="32"/>
    </w:rPr>
  </w:style>
  <w:style w:type="character" w:customStyle="1" w:styleId="190">
    <w:name w:val="标题2 Char"/>
    <w:uiPriority w:val="0"/>
    <w:rPr>
      <w:rFonts w:eastAsia="方正楷体_GBK"/>
      <w:snapToGrid w:val="0"/>
      <w:sz w:val="32"/>
      <w:lang w:val="en-US" w:eastAsia="zh-CN" w:bidi="ar-SA"/>
    </w:rPr>
  </w:style>
  <w:style w:type="paragraph" w:customStyle="1" w:styleId="191">
    <w:name w:val="Char1 Char Char Char"/>
    <w:basedOn w:val="1"/>
    <w:uiPriority w:val="0"/>
    <w:rPr>
      <w:rFonts w:ascii="Tahoma" w:hAnsi="Tahoma" w:eastAsia="宋体"/>
      <w:sz w:val="24"/>
    </w:rPr>
  </w:style>
  <w:style w:type="paragraph" w:customStyle="1" w:styleId="192">
    <w:name w:val="正文仿宋_GB2312四号"/>
    <w:basedOn w:val="1"/>
    <w:uiPriority w:val="0"/>
    <w:pPr>
      <w:spacing w:beforeLines="50"/>
      <w:ind w:firstLine="560" w:firstLineChars="200"/>
    </w:pPr>
    <w:rPr>
      <w:rFonts w:ascii="仿宋_GB2312" w:eastAsia="仿宋_GB2312"/>
      <w:sz w:val="28"/>
    </w:rPr>
  </w:style>
  <w:style w:type="paragraph" w:customStyle="1" w:styleId="193">
    <w:name w:val="正文标题"/>
    <w:next w:val="192"/>
    <w:qFormat/>
    <w:uiPriority w:val="0"/>
    <w:pPr>
      <w:spacing w:beforeLines="100" w:afterLines="100"/>
      <w:jc w:val="center"/>
    </w:pPr>
    <w:rPr>
      <w:rFonts w:ascii="仿宋_GB2312" w:hAnsi="Times New Roman" w:eastAsia="黑体" w:cs="Times New Roman"/>
      <w:kern w:val="2"/>
      <w:sz w:val="32"/>
      <w:lang w:val="en-US" w:eastAsia="zh-CN" w:bidi="ar-SA"/>
    </w:rPr>
  </w:style>
  <w:style w:type="paragraph" w:customStyle="1" w:styleId="194">
    <w:name w:val="T正文样式"/>
    <w:basedOn w:val="1"/>
    <w:uiPriority w:val="0"/>
    <w:pPr>
      <w:ind w:firstLine="600" w:firstLineChars="200"/>
    </w:pPr>
    <w:rPr>
      <w:rFonts w:ascii="仿宋_GB2312" w:eastAsia="仿宋_GB2312"/>
      <w:szCs w:val="30"/>
    </w:rPr>
  </w:style>
  <w:style w:type="paragraph" w:customStyle="1" w:styleId="195">
    <w:name w:val="T正文样式加粗"/>
    <w:basedOn w:val="194"/>
    <w:autoRedefine/>
    <w:qFormat/>
    <w:uiPriority w:val="0"/>
    <w:pPr>
      <w:jc w:val="left"/>
    </w:pPr>
    <w:rPr>
      <w:b/>
      <w:bCs/>
    </w:rPr>
  </w:style>
  <w:style w:type="paragraph" w:customStyle="1" w:styleId="196">
    <w:name w:val="reader-word-layer reader-word-s1-10"/>
    <w:basedOn w:val="1"/>
    <w:uiPriority w:val="0"/>
    <w:pPr>
      <w:widowControl/>
      <w:spacing w:before="100" w:beforeAutospacing="1" w:after="100" w:afterAutospacing="1"/>
      <w:jc w:val="left"/>
    </w:pPr>
    <w:rPr>
      <w:rFonts w:ascii="宋体" w:hAnsi="宋体" w:eastAsia="宋体"/>
      <w:kern w:val="0"/>
      <w:sz w:val="24"/>
      <w:szCs w:val="24"/>
    </w:rPr>
  </w:style>
  <w:style w:type="character" w:customStyle="1" w:styleId="197">
    <w:name w:val="标题2 Char Char"/>
    <w:basedOn w:val="43"/>
    <w:uiPriority w:val="0"/>
    <w:rPr>
      <w:rFonts w:eastAsia="方正楷体_GBK"/>
      <w:snapToGrid w:val="0"/>
      <w:sz w:val="32"/>
      <w:lang w:val="en-US" w:eastAsia="zh-CN" w:bidi="ar-SA"/>
    </w:rPr>
  </w:style>
  <w:style w:type="paragraph" w:customStyle="1" w:styleId="198">
    <w:name w:val="文字"/>
    <w:basedOn w:val="1"/>
    <w:uiPriority w:val="0"/>
    <w:pPr>
      <w:widowControl/>
      <w:spacing w:afterLines="50" w:line="360" w:lineRule="auto"/>
      <w:ind w:firstLine="420"/>
    </w:pPr>
    <w:rPr>
      <w:rFonts w:eastAsia="宋体"/>
      <w:kern w:val="0"/>
      <w:sz w:val="24"/>
      <w:szCs w:val="24"/>
    </w:rPr>
  </w:style>
  <w:style w:type="paragraph" w:customStyle="1" w:styleId="199">
    <w:name w:val="p0"/>
    <w:basedOn w:val="1"/>
    <w:uiPriority w:val="0"/>
    <w:pPr>
      <w:widowControl/>
      <w:topLinePunct/>
      <w:spacing w:line="290" w:lineRule="auto"/>
    </w:pPr>
    <w:rPr>
      <w:rFonts w:ascii="方正仿宋_GBK" w:hAnsi="宋体" w:eastAsia="方正仿宋_GBK"/>
      <w:kern w:val="0"/>
      <w:sz w:val="32"/>
      <w:szCs w:val="32"/>
    </w:rPr>
  </w:style>
  <w:style w:type="character" w:customStyle="1" w:styleId="200">
    <w:name w:val="Char Char4"/>
    <w:uiPriority w:val="0"/>
    <w:rPr>
      <w:rFonts w:eastAsia="宋体"/>
      <w:kern w:val="2"/>
      <w:sz w:val="18"/>
      <w:szCs w:val="18"/>
      <w:lang w:val="en-US" w:eastAsia="zh-CN" w:bidi="ar-SA"/>
    </w:rPr>
  </w:style>
  <w:style w:type="character" w:customStyle="1" w:styleId="201">
    <w:name w:val="Char Char3"/>
    <w:semiHidden/>
    <w:uiPriority w:val="0"/>
    <w:rPr>
      <w:rFonts w:eastAsia="宋体"/>
      <w:kern w:val="2"/>
      <w:sz w:val="18"/>
      <w:szCs w:val="18"/>
      <w:lang w:val="en-US" w:eastAsia="zh-CN" w:bidi="ar-SA"/>
    </w:rPr>
  </w:style>
  <w:style w:type="character" w:customStyle="1" w:styleId="202">
    <w:name w:val="Char Char1"/>
    <w:basedOn w:val="43"/>
    <w:semiHidden/>
    <w:uiPriority w:val="0"/>
    <w:rPr>
      <w:rFonts w:ascii="Calibri" w:hAnsi="Calibri" w:eastAsia="宋体"/>
      <w:kern w:val="2"/>
      <w:sz w:val="21"/>
      <w:szCs w:val="22"/>
      <w:lang w:val="en-US" w:eastAsia="zh-CN" w:bidi="ar-SA"/>
    </w:rPr>
  </w:style>
  <w:style w:type="character" w:customStyle="1" w:styleId="203">
    <w:name w:val="Char Char"/>
    <w:basedOn w:val="202"/>
    <w:semiHidden/>
    <w:uiPriority w:val="0"/>
    <w:rPr>
      <w:b/>
      <w:bCs/>
    </w:rPr>
  </w:style>
  <w:style w:type="paragraph" w:customStyle="1" w:styleId="204">
    <w:name w:val="Char Char Char"/>
    <w:basedOn w:val="1"/>
    <w:uiPriority w:val="0"/>
    <w:rPr>
      <w:rFonts w:eastAsia="宋体"/>
      <w:sz w:val="21"/>
      <w:szCs w:val="24"/>
    </w:rPr>
  </w:style>
  <w:style w:type="character" w:customStyle="1" w:styleId="205">
    <w:name w:val="ca-2"/>
    <w:basedOn w:val="43"/>
    <w:uiPriority w:val="0"/>
  </w:style>
  <w:style w:type="paragraph" w:customStyle="1" w:styleId="206">
    <w:name w:val="附件栏"/>
    <w:basedOn w:val="1"/>
    <w:uiPriority w:val="0"/>
    <w:pPr>
      <w:autoSpaceDE w:val="0"/>
      <w:autoSpaceDN w:val="0"/>
      <w:snapToGrid w:val="0"/>
      <w:spacing w:line="590" w:lineRule="atLeast"/>
      <w:ind w:firstLine="624"/>
    </w:pPr>
    <w:rPr>
      <w:rFonts w:eastAsia="方正仿宋_GBK"/>
      <w:snapToGrid w:val="0"/>
      <w:kern w:val="0"/>
      <w:sz w:val="32"/>
    </w:rPr>
  </w:style>
  <w:style w:type="paragraph" w:customStyle="1" w:styleId="207">
    <w:name w:val="列出段落1"/>
    <w:basedOn w:val="1"/>
    <w:uiPriority w:val="0"/>
    <w:pPr>
      <w:ind w:firstLine="420" w:firstLineChars="200"/>
    </w:pPr>
    <w:rPr>
      <w:rFonts w:ascii="Calibri" w:hAnsi="Calibri" w:eastAsia="宋体"/>
      <w:sz w:val="21"/>
      <w:szCs w:val="22"/>
    </w:rPr>
  </w:style>
  <w:style w:type="paragraph" w:customStyle="1" w:styleId="208">
    <w:name w:val="列出段落2"/>
    <w:basedOn w:val="1"/>
    <w:uiPriority w:val="0"/>
    <w:pPr>
      <w:ind w:firstLine="420" w:firstLineChars="200"/>
    </w:pPr>
    <w:rPr>
      <w:rFonts w:eastAsia="宋体"/>
      <w:sz w:val="21"/>
      <w:szCs w:val="22"/>
    </w:rPr>
  </w:style>
  <w:style w:type="paragraph" w:customStyle="1" w:styleId="209">
    <w:name w:val="TOC 标题1"/>
    <w:basedOn w:val="2"/>
    <w:next w:val="1"/>
    <w:uiPriority w:val="0"/>
    <w:pPr>
      <w:keepNext/>
      <w:keepLines/>
      <w:widowControl/>
      <w:spacing w:before="240" w:line="259" w:lineRule="auto"/>
      <w:ind w:firstLine="0" w:firstLineChars="0"/>
      <w:jc w:val="left"/>
      <w:outlineLvl w:val="9"/>
    </w:pPr>
    <w:rPr>
      <w:rFonts w:ascii="Calibri Light" w:hAnsi="Calibri Light" w:eastAsia="宋体"/>
      <w:bCs w:val="0"/>
      <w:color w:val="2E74B5"/>
      <w:kern w:val="0"/>
      <w:szCs w:val="32"/>
    </w:rPr>
  </w:style>
  <w:style w:type="paragraph" w:customStyle="1" w:styleId="210">
    <w:name w:val="批注主题1"/>
    <w:basedOn w:val="16"/>
    <w:next w:val="16"/>
    <w:uiPriority w:val="0"/>
    <w:rPr>
      <w:b/>
      <w:kern w:val="0"/>
      <w:sz w:val="20"/>
      <w:szCs w:val="20"/>
    </w:rPr>
  </w:style>
  <w:style w:type="paragraph" w:customStyle="1" w:styleId="211">
    <w:name w:val="批注框文本1"/>
    <w:basedOn w:val="1"/>
    <w:uiPriority w:val="0"/>
    <w:rPr>
      <w:rFonts w:ascii="Calibri" w:hAnsi="Calibri" w:eastAsia="宋体"/>
      <w:kern w:val="0"/>
      <w:sz w:val="18"/>
    </w:rPr>
  </w:style>
  <w:style w:type="paragraph" w:customStyle="1" w:styleId="212">
    <w:name w:val="列出段落3"/>
    <w:basedOn w:val="1"/>
    <w:uiPriority w:val="0"/>
    <w:pPr>
      <w:ind w:firstLine="420" w:firstLineChars="200"/>
    </w:pPr>
    <w:rPr>
      <w:rFonts w:eastAsia="宋体"/>
      <w:sz w:val="21"/>
      <w:szCs w:val="22"/>
    </w:rPr>
  </w:style>
  <w:style w:type="paragraph" w:customStyle="1" w:styleId="213">
    <w:name w:val="CM1"/>
    <w:basedOn w:val="1"/>
    <w:next w:val="1"/>
    <w:uiPriority w:val="0"/>
    <w:pPr>
      <w:autoSpaceDE w:val="0"/>
      <w:autoSpaceDN w:val="0"/>
      <w:adjustRightInd w:val="0"/>
      <w:jc w:val="left"/>
    </w:pPr>
    <w:rPr>
      <w:rFonts w:ascii="微软雅黑" w:eastAsia="微软雅黑"/>
      <w:kern w:val="0"/>
      <w:sz w:val="24"/>
      <w:szCs w:val="24"/>
    </w:rPr>
  </w:style>
  <w:style w:type="paragraph" w:customStyle="1" w:styleId="214">
    <w:name w:val="CM48"/>
    <w:basedOn w:val="1"/>
    <w:next w:val="1"/>
    <w:uiPriority w:val="0"/>
    <w:pPr>
      <w:autoSpaceDE w:val="0"/>
      <w:autoSpaceDN w:val="0"/>
      <w:adjustRightInd w:val="0"/>
      <w:jc w:val="left"/>
    </w:pPr>
    <w:rPr>
      <w:rFonts w:ascii="微软雅黑" w:eastAsia="微软雅黑"/>
      <w:kern w:val="0"/>
      <w:sz w:val="24"/>
      <w:szCs w:val="24"/>
    </w:rPr>
  </w:style>
  <w:style w:type="paragraph" w:customStyle="1" w:styleId="215">
    <w:name w:val="列出段落12"/>
    <w:basedOn w:val="1"/>
    <w:uiPriority w:val="0"/>
    <w:pPr>
      <w:ind w:firstLine="420" w:firstLineChars="200"/>
    </w:pPr>
    <w:rPr>
      <w:rFonts w:eastAsia="宋体"/>
      <w:sz w:val="21"/>
      <w:szCs w:val="22"/>
    </w:rPr>
  </w:style>
  <w:style w:type="paragraph" w:customStyle="1" w:styleId="216">
    <w:name w:val="Defaul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217">
    <w:name w:val="列出段落11"/>
    <w:basedOn w:val="1"/>
    <w:uiPriority w:val="0"/>
    <w:pPr>
      <w:ind w:firstLine="420" w:firstLineChars="200"/>
    </w:pPr>
    <w:rPr>
      <w:rFonts w:eastAsia="宋体"/>
      <w:sz w:val="21"/>
      <w:szCs w:val="22"/>
    </w:rPr>
  </w:style>
  <w:style w:type="paragraph" w:customStyle="1" w:styleId="218">
    <w:name w:val="xl12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eastAsia="宋体"/>
      <w:kern w:val="0"/>
      <w:sz w:val="18"/>
      <w:szCs w:val="18"/>
    </w:rPr>
  </w:style>
  <w:style w:type="paragraph" w:customStyle="1" w:styleId="219">
    <w:name w:val="xl12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eastAsia="宋体"/>
      <w:b/>
      <w:bCs/>
      <w:kern w:val="0"/>
      <w:sz w:val="20"/>
    </w:rPr>
  </w:style>
  <w:style w:type="paragraph" w:customStyle="1" w:styleId="220">
    <w:name w:val="xl15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b/>
      <w:bCs/>
      <w:kern w:val="0"/>
      <w:sz w:val="18"/>
      <w:szCs w:val="18"/>
    </w:rPr>
  </w:style>
  <w:style w:type="paragraph" w:customStyle="1" w:styleId="221">
    <w:name w:val="xl149"/>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b/>
      <w:bCs/>
      <w:kern w:val="0"/>
      <w:sz w:val="20"/>
    </w:rPr>
  </w:style>
  <w:style w:type="paragraph" w:customStyle="1" w:styleId="222">
    <w:name w:val="xl148"/>
    <w:basedOn w:val="1"/>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b/>
      <w:bCs/>
      <w:kern w:val="0"/>
      <w:sz w:val="20"/>
    </w:rPr>
  </w:style>
  <w:style w:type="paragraph" w:customStyle="1" w:styleId="223">
    <w:name w:val="xl147"/>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b/>
      <w:bCs/>
      <w:kern w:val="0"/>
      <w:sz w:val="20"/>
    </w:rPr>
  </w:style>
  <w:style w:type="paragraph" w:customStyle="1" w:styleId="224">
    <w:name w:val="xl146"/>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b/>
      <w:bCs/>
      <w:kern w:val="0"/>
      <w:sz w:val="20"/>
    </w:rPr>
  </w:style>
  <w:style w:type="paragraph" w:customStyle="1" w:styleId="225">
    <w:name w:val="xl145"/>
    <w:basedOn w:val="1"/>
    <w:uiPriority w:val="0"/>
    <w:pPr>
      <w:widowControl/>
      <w:pBdr>
        <w:top w:val="single" w:color="auto" w:sz="4" w:space="0"/>
        <w:bottom w:val="single" w:color="auto" w:sz="4" w:space="0"/>
      </w:pBdr>
      <w:shd w:val="clear" w:color="000000" w:fill="FFFFFF"/>
      <w:spacing w:before="100" w:beforeAutospacing="1" w:after="100" w:afterAutospacing="1"/>
      <w:jc w:val="left"/>
      <w:textAlignment w:val="center"/>
    </w:pPr>
    <w:rPr>
      <w:rFonts w:ascii="宋体" w:hAnsi="宋体" w:eastAsia="宋体"/>
      <w:b/>
      <w:bCs/>
      <w:kern w:val="0"/>
      <w:sz w:val="20"/>
    </w:rPr>
  </w:style>
  <w:style w:type="paragraph" w:customStyle="1" w:styleId="226">
    <w:name w:val="xl144"/>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eastAsia="宋体"/>
      <w:b/>
      <w:bCs/>
      <w:kern w:val="0"/>
      <w:sz w:val="20"/>
    </w:rPr>
  </w:style>
  <w:style w:type="paragraph" w:customStyle="1" w:styleId="227">
    <w:name w:val="xl14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kern w:val="0"/>
      <w:sz w:val="18"/>
      <w:szCs w:val="18"/>
    </w:rPr>
  </w:style>
  <w:style w:type="paragraph" w:customStyle="1" w:styleId="228">
    <w:name w:val="xl142"/>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right"/>
      <w:textAlignment w:val="center"/>
    </w:pPr>
    <w:rPr>
      <w:rFonts w:ascii="宋体" w:hAnsi="宋体" w:eastAsia="宋体"/>
      <w:kern w:val="0"/>
      <w:sz w:val="18"/>
      <w:szCs w:val="18"/>
    </w:rPr>
  </w:style>
  <w:style w:type="paragraph" w:customStyle="1" w:styleId="229">
    <w:name w:val="xl141"/>
    <w:basedOn w:val="1"/>
    <w:uiPriority w:val="0"/>
    <w:pPr>
      <w:widowControl/>
      <w:spacing w:before="100" w:beforeAutospacing="1" w:after="100" w:afterAutospacing="1"/>
      <w:jc w:val="left"/>
      <w:textAlignment w:val="center"/>
    </w:pPr>
    <w:rPr>
      <w:rFonts w:ascii="宋体" w:hAnsi="宋体" w:eastAsia="宋体"/>
      <w:kern w:val="0"/>
      <w:sz w:val="18"/>
      <w:szCs w:val="18"/>
    </w:rPr>
  </w:style>
  <w:style w:type="paragraph" w:customStyle="1" w:styleId="230">
    <w:name w:val="xl1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18"/>
      <w:szCs w:val="18"/>
    </w:rPr>
  </w:style>
  <w:style w:type="paragraph" w:customStyle="1" w:styleId="231">
    <w:name w:val="xl1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18"/>
      <w:szCs w:val="18"/>
    </w:rPr>
  </w:style>
  <w:style w:type="paragraph" w:customStyle="1" w:styleId="232">
    <w:name w:val="xl1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18"/>
      <w:szCs w:val="18"/>
    </w:rPr>
  </w:style>
  <w:style w:type="paragraph" w:customStyle="1" w:styleId="233">
    <w:name w:val="xl1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18"/>
      <w:szCs w:val="18"/>
    </w:rPr>
  </w:style>
  <w:style w:type="paragraph" w:customStyle="1" w:styleId="234">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kern w:val="0"/>
      <w:sz w:val="18"/>
      <w:szCs w:val="18"/>
    </w:rPr>
  </w:style>
  <w:style w:type="paragraph" w:customStyle="1" w:styleId="235">
    <w:name w:val="xl1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18"/>
      <w:szCs w:val="18"/>
    </w:rPr>
  </w:style>
  <w:style w:type="paragraph" w:customStyle="1" w:styleId="236">
    <w:name w:val="xl13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kern w:val="0"/>
      <w:sz w:val="18"/>
      <w:szCs w:val="18"/>
    </w:rPr>
  </w:style>
  <w:style w:type="paragraph" w:customStyle="1" w:styleId="237">
    <w:name w:val="xl13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kern w:val="0"/>
      <w:sz w:val="18"/>
      <w:szCs w:val="18"/>
    </w:rPr>
  </w:style>
  <w:style w:type="paragraph" w:customStyle="1" w:styleId="238">
    <w:name w:val="xl132"/>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right"/>
      <w:textAlignment w:val="center"/>
    </w:pPr>
    <w:rPr>
      <w:rFonts w:ascii="宋体" w:hAnsi="宋体" w:eastAsia="宋体"/>
      <w:kern w:val="0"/>
      <w:sz w:val="18"/>
      <w:szCs w:val="18"/>
    </w:rPr>
  </w:style>
  <w:style w:type="paragraph" w:customStyle="1" w:styleId="239">
    <w:name w:val="xl131"/>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kern w:val="0"/>
      <w:sz w:val="18"/>
      <w:szCs w:val="18"/>
    </w:rPr>
  </w:style>
  <w:style w:type="paragraph" w:customStyle="1" w:styleId="240">
    <w:name w:val="xl130"/>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kern w:val="0"/>
      <w:sz w:val="18"/>
      <w:szCs w:val="18"/>
    </w:rPr>
  </w:style>
  <w:style w:type="paragraph" w:customStyle="1" w:styleId="241">
    <w:name w:val="xl129"/>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kern w:val="0"/>
      <w:sz w:val="18"/>
      <w:szCs w:val="18"/>
    </w:rPr>
  </w:style>
  <w:style w:type="paragraph" w:customStyle="1" w:styleId="242">
    <w:name w:val="xl128"/>
    <w:basedOn w:val="1"/>
    <w:uiPriority w:val="0"/>
    <w:pPr>
      <w:widowControl/>
      <w:shd w:val="clear" w:color="000000" w:fill="FFFFFF"/>
      <w:spacing w:before="100" w:beforeAutospacing="1" w:after="100" w:afterAutospacing="1"/>
      <w:jc w:val="left"/>
      <w:textAlignment w:val="center"/>
    </w:pPr>
    <w:rPr>
      <w:rFonts w:ascii="宋体" w:hAnsi="宋体" w:eastAsia="宋体"/>
      <w:b/>
      <w:bCs/>
      <w:kern w:val="0"/>
      <w:sz w:val="20"/>
    </w:rPr>
  </w:style>
  <w:style w:type="paragraph" w:customStyle="1" w:styleId="243">
    <w:name w:val="xl12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b/>
      <w:bCs/>
      <w:kern w:val="0"/>
      <w:sz w:val="20"/>
    </w:rPr>
  </w:style>
  <w:style w:type="paragraph" w:customStyle="1" w:styleId="244">
    <w:name w:val="xl126"/>
    <w:basedOn w:val="1"/>
    <w:uiPriority w:val="0"/>
    <w:pPr>
      <w:widowControl/>
      <w:shd w:val="clear" w:color="000000" w:fill="FFFFFF"/>
      <w:spacing w:before="100" w:beforeAutospacing="1" w:after="100" w:afterAutospacing="1"/>
      <w:jc w:val="right"/>
      <w:textAlignment w:val="center"/>
    </w:pPr>
    <w:rPr>
      <w:rFonts w:ascii="宋体" w:hAnsi="宋体" w:eastAsia="宋体"/>
      <w:b/>
      <w:bCs/>
      <w:kern w:val="0"/>
      <w:sz w:val="20"/>
    </w:rPr>
  </w:style>
  <w:style w:type="paragraph" w:customStyle="1" w:styleId="245">
    <w:name w:val="xl125"/>
    <w:basedOn w:val="1"/>
    <w:uiPriority w:val="0"/>
    <w:pPr>
      <w:widowControl/>
      <w:shd w:val="clear" w:color="000000" w:fill="FFFFFF"/>
      <w:spacing w:before="100" w:beforeAutospacing="1" w:after="100" w:afterAutospacing="1"/>
      <w:jc w:val="right"/>
      <w:textAlignment w:val="center"/>
    </w:pPr>
    <w:rPr>
      <w:rFonts w:ascii="仿宋_GB2312" w:hAnsi="宋体" w:eastAsia="仿宋_GB2312"/>
      <w:kern w:val="0"/>
      <w:sz w:val="20"/>
    </w:rPr>
  </w:style>
  <w:style w:type="paragraph" w:customStyle="1" w:styleId="246">
    <w:name w:val="xl124"/>
    <w:basedOn w:val="1"/>
    <w:uiPriority w:val="0"/>
    <w:pPr>
      <w:widowControl/>
      <w:shd w:val="clear" w:color="000000" w:fill="FFFFFF"/>
      <w:spacing w:before="100" w:beforeAutospacing="1" w:after="100" w:afterAutospacing="1"/>
      <w:jc w:val="right"/>
      <w:textAlignment w:val="center"/>
    </w:pPr>
    <w:rPr>
      <w:rFonts w:ascii="仿宋_GB2312" w:hAnsi="宋体" w:eastAsia="仿宋_GB2312"/>
      <w:kern w:val="0"/>
      <w:sz w:val="20"/>
    </w:rPr>
  </w:style>
  <w:style w:type="paragraph" w:customStyle="1" w:styleId="247">
    <w:name w:val="xl151"/>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b/>
      <w:bCs/>
      <w:kern w:val="0"/>
      <w:sz w:val="20"/>
    </w:rPr>
  </w:style>
  <w:style w:type="paragraph" w:customStyle="1" w:styleId="248">
    <w:name w:val="xl152"/>
    <w:basedOn w:val="1"/>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b/>
      <w:bCs/>
      <w:kern w:val="0"/>
      <w:sz w:val="20"/>
    </w:rPr>
  </w:style>
  <w:style w:type="paragraph" w:customStyle="1" w:styleId="249">
    <w:name w:val="xl156"/>
    <w:basedOn w:val="1"/>
    <w:uiPriority w:val="0"/>
    <w:pPr>
      <w:widowControl/>
      <w:pBdr>
        <w:bottom w:val="single" w:color="auto" w:sz="4" w:space="0"/>
      </w:pBdr>
      <w:shd w:val="clear" w:color="000000" w:fill="FFFFFF"/>
      <w:spacing w:before="100" w:beforeAutospacing="1" w:after="100" w:afterAutospacing="1"/>
      <w:jc w:val="left"/>
      <w:textAlignment w:val="center"/>
    </w:pPr>
    <w:rPr>
      <w:rFonts w:ascii="宋体" w:hAnsi="宋体" w:eastAsia="宋体"/>
      <w:kern w:val="0"/>
      <w:sz w:val="20"/>
    </w:rPr>
  </w:style>
  <w:style w:type="paragraph" w:customStyle="1" w:styleId="250">
    <w:name w:val="xl155"/>
    <w:basedOn w:val="1"/>
    <w:uiPriority w:val="0"/>
    <w:pPr>
      <w:widowControl/>
      <w:pBdr>
        <w:bottom w:val="single" w:color="auto" w:sz="4" w:space="0"/>
      </w:pBdr>
      <w:shd w:val="clear" w:color="000000" w:fill="FFFFFF"/>
      <w:spacing w:before="100" w:beforeAutospacing="1" w:after="100" w:afterAutospacing="1"/>
      <w:jc w:val="center"/>
      <w:textAlignment w:val="center"/>
    </w:pPr>
    <w:rPr>
      <w:rFonts w:ascii="宋体" w:hAnsi="宋体" w:eastAsia="宋体"/>
      <w:kern w:val="0"/>
      <w:sz w:val="20"/>
    </w:rPr>
  </w:style>
  <w:style w:type="paragraph" w:customStyle="1" w:styleId="251">
    <w:name w:val="xl154"/>
    <w:basedOn w:val="1"/>
    <w:uiPriority w:val="0"/>
    <w:pPr>
      <w:widowControl/>
      <w:shd w:val="clear" w:color="000000" w:fill="FFFFFF"/>
      <w:spacing w:before="100" w:beforeAutospacing="1" w:after="100" w:afterAutospacing="1"/>
      <w:jc w:val="center"/>
      <w:textAlignment w:val="center"/>
    </w:pPr>
    <w:rPr>
      <w:rFonts w:ascii="黑体" w:hAnsi="黑体" w:eastAsia="黑体"/>
      <w:b/>
      <w:bCs/>
      <w:kern w:val="0"/>
      <w:sz w:val="40"/>
      <w:szCs w:val="40"/>
    </w:rPr>
  </w:style>
  <w:style w:type="paragraph" w:customStyle="1" w:styleId="252">
    <w:name w:val="xl153"/>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b/>
      <w:bCs/>
      <w:kern w:val="0"/>
      <w:sz w:val="20"/>
    </w:rPr>
  </w:style>
  <w:style w:type="paragraph" w:customStyle="1" w:styleId="253">
    <w:name w:val="修订1"/>
    <w:hidden/>
    <w:uiPriority w:val="0"/>
    <w:rPr>
      <w:rFonts w:ascii="Times New Roman" w:hAnsi="Times New Roman" w:eastAsia="宋体" w:cs="Times New Roman"/>
      <w:kern w:val="2"/>
      <w:sz w:val="21"/>
      <w:szCs w:val="22"/>
      <w:lang w:val="en-US" w:eastAsia="zh-CN" w:bidi="ar-SA"/>
    </w:rPr>
  </w:style>
  <w:style w:type="paragraph" w:customStyle="1" w:styleId="254">
    <w:name w:val="font14"/>
    <w:basedOn w:val="1"/>
    <w:uiPriority w:val="0"/>
    <w:pPr>
      <w:widowControl/>
      <w:spacing w:before="100" w:beforeAutospacing="1" w:after="100" w:afterAutospacing="1"/>
      <w:jc w:val="left"/>
    </w:pPr>
    <w:rPr>
      <w:rFonts w:eastAsia="宋体"/>
      <w:color w:val="FF0000"/>
      <w:kern w:val="0"/>
      <w:sz w:val="20"/>
    </w:rPr>
  </w:style>
  <w:style w:type="paragraph" w:customStyle="1" w:styleId="255">
    <w:name w:val="font15"/>
    <w:basedOn w:val="1"/>
    <w:uiPriority w:val="0"/>
    <w:pPr>
      <w:widowControl/>
      <w:spacing w:before="100" w:beforeAutospacing="1" w:after="100" w:afterAutospacing="1"/>
      <w:jc w:val="left"/>
    </w:pPr>
    <w:rPr>
      <w:rFonts w:ascii="方正仿宋_GBK" w:hAnsi="宋体" w:eastAsia="方正仿宋_GBK"/>
      <w:color w:val="FF0000"/>
      <w:kern w:val="0"/>
      <w:sz w:val="20"/>
    </w:rPr>
  </w:style>
  <w:style w:type="paragraph" w:customStyle="1" w:styleId="256">
    <w:name w:val="xl15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小标宋_GBK" w:hAnsi="宋体" w:eastAsia="方正小标宋_GBK"/>
      <w:color w:val="000000"/>
      <w:kern w:val="0"/>
      <w:sz w:val="20"/>
    </w:rPr>
  </w:style>
  <w:style w:type="paragraph" w:customStyle="1" w:styleId="257">
    <w:name w:val="xl15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eastAsia="方正仿宋_GBK"/>
      <w:kern w:val="0"/>
      <w:sz w:val="20"/>
    </w:rPr>
  </w:style>
  <w:style w:type="paragraph" w:customStyle="1" w:styleId="258">
    <w:name w:val="xl15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小标宋_GBK" w:hAnsi="宋体" w:eastAsia="方正小标宋_GBK"/>
      <w:color w:val="000000"/>
      <w:kern w:val="0"/>
      <w:sz w:val="20"/>
    </w:rPr>
  </w:style>
  <w:style w:type="paragraph" w:customStyle="1" w:styleId="259">
    <w:name w:val="xl160"/>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方正小标宋_GBK" w:hAnsi="宋体" w:eastAsia="方正小标宋_GBK"/>
      <w:color w:val="000000"/>
      <w:kern w:val="0"/>
      <w:sz w:val="20"/>
    </w:rPr>
  </w:style>
  <w:style w:type="paragraph" w:customStyle="1" w:styleId="260">
    <w:name w:val="xl161"/>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eastAsia="宋体"/>
      <w:b/>
      <w:bCs/>
      <w:color w:val="000000"/>
      <w:kern w:val="0"/>
      <w:sz w:val="20"/>
    </w:rPr>
  </w:style>
  <w:style w:type="paragraph" w:customStyle="1" w:styleId="261">
    <w:name w:val="xl162"/>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eastAsia="宋体"/>
      <w:color w:val="FF0000"/>
      <w:kern w:val="0"/>
      <w:sz w:val="20"/>
    </w:rPr>
  </w:style>
  <w:style w:type="paragraph" w:customStyle="1" w:styleId="262">
    <w:name w:val="xl16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eastAsia="宋体"/>
      <w:color w:val="FF0000"/>
      <w:kern w:val="0"/>
      <w:sz w:val="20"/>
    </w:rPr>
  </w:style>
  <w:style w:type="paragraph" w:customStyle="1" w:styleId="263">
    <w:name w:val="xl164"/>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方正小标宋_GBK" w:hAnsi="宋体" w:eastAsia="方正小标宋_GBK"/>
      <w:color w:val="000000"/>
      <w:kern w:val="0"/>
      <w:sz w:val="20"/>
    </w:rPr>
  </w:style>
  <w:style w:type="paragraph" w:customStyle="1" w:styleId="264">
    <w:name w:val="xl165"/>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方正小标宋_GBK" w:hAnsi="宋体" w:eastAsia="方正小标宋_GBK"/>
      <w:color w:val="000000"/>
      <w:kern w:val="0"/>
      <w:sz w:val="20"/>
    </w:rPr>
  </w:style>
  <w:style w:type="paragraph" w:customStyle="1" w:styleId="265">
    <w:name w:val="xl166"/>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方正小标宋_GBK" w:hAnsi="宋体" w:eastAsia="方正小标宋_GBK"/>
      <w:color w:val="000000"/>
      <w:kern w:val="0"/>
      <w:sz w:val="20"/>
    </w:rPr>
  </w:style>
  <w:style w:type="paragraph" w:customStyle="1" w:styleId="266">
    <w:name w:val="xl167"/>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方正小标宋_GBK" w:hAnsi="宋体" w:eastAsia="方正小标宋_GBK"/>
      <w:color w:val="000000"/>
      <w:kern w:val="0"/>
      <w:sz w:val="20"/>
    </w:rPr>
  </w:style>
  <w:style w:type="paragraph" w:customStyle="1" w:styleId="267">
    <w:name w:val="xl168"/>
    <w:basedOn w:val="1"/>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方正小标宋_GBK" w:hAnsi="宋体" w:eastAsia="方正小标宋_GBK"/>
      <w:color w:val="000000"/>
      <w:kern w:val="0"/>
      <w:sz w:val="20"/>
    </w:rPr>
  </w:style>
  <w:style w:type="paragraph" w:customStyle="1" w:styleId="268">
    <w:name w:val="xl169"/>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小标宋_GBK" w:hAnsi="宋体" w:eastAsia="方正小标宋_GBK"/>
      <w:color w:val="000000"/>
      <w:kern w:val="0"/>
      <w:sz w:val="20"/>
    </w:rPr>
  </w:style>
  <w:style w:type="paragraph" w:customStyle="1" w:styleId="269">
    <w:name w:val="font0"/>
    <w:basedOn w:val="1"/>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270">
    <w:name w:val="font16"/>
    <w:basedOn w:val="1"/>
    <w:uiPriority w:val="0"/>
    <w:pPr>
      <w:widowControl/>
      <w:spacing w:before="100" w:beforeAutospacing="1" w:after="100" w:afterAutospacing="1"/>
      <w:jc w:val="left"/>
    </w:pPr>
    <w:rPr>
      <w:rFonts w:eastAsia="宋体"/>
      <w:kern w:val="0"/>
      <w:sz w:val="20"/>
    </w:rPr>
  </w:style>
  <w:style w:type="paragraph" w:customStyle="1" w:styleId="271">
    <w:name w:val="font17"/>
    <w:basedOn w:val="1"/>
    <w:uiPriority w:val="0"/>
    <w:pPr>
      <w:widowControl/>
      <w:spacing w:before="100" w:beforeAutospacing="1" w:after="100" w:afterAutospacing="1"/>
      <w:jc w:val="left"/>
    </w:pPr>
    <w:rPr>
      <w:rFonts w:ascii="宋体" w:hAnsi="宋体" w:eastAsia="宋体"/>
      <w:color w:val="000000"/>
      <w:kern w:val="0"/>
      <w:sz w:val="22"/>
      <w:szCs w:val="22"/>
    </w:rPr>
  </w:style>
  <w:style w:type="paragraph" w:customStyle="1" w:styleId="272">
    <w:name w:val="font18"/>
    <w:basedOn w:val="1"/>
    <w:uiPriority w:val="0"/>
    <w:pPr>
      <w:widowControl/>
      <w:spacing w:before="100" w:beforeAutospacing="1" w:after="100" w:afterAutospacing="1"/>
      <w:jc w:val="left"/>
    </w:pPr>
    <w:rPr>
      <w:rFonts w:ascii="宋体" w:hAnsi="宋体" w:eastAsia="宋体"/>
      <w:kern w:val="0"/>
      <w:sz w:val="20"/>
    </w:rPr>
  </w:style>
  <w:style w:type="paragraph" w:customStyle="1" w:styleId="273">
    <w:name w:val="font19"/>
    <w:basedOn w:val="1"/>
    <w:uiPriority w:val="0"/>
    <w:pPr>
      <w:widowControl/>
      <w:spacing w:before="100" w:beforeAutospacing="1" w:after="100" w:afterAutospacing="1"/>
      <w:jc w:val="left"/>
    </w:pPr>
    <w:rPr>
      <w:rFonts w:ascii="宋体" w:hAnsi="宋体" w:eastAsia="宋体"/>
      <w:kern w:val="0"/>
      <w:sz w:val="18"/>
      <w:szCs w:val="18"/>
    </w:rPr>
  </w:style>
  <w:style w:type="character" w:customStyle="1" w:styleId="274">
    <w:name w:val="ca-52"/>
    <w:basedOn w:val="43"/>
    <w:uiPriority w:val="0"/>
  </w:style>
  <w:style w:type="paragraph" w:customStyle="1" w:styleId="275">
    <w:name w:val="pa-5"/>
    <w:basedOn w:val="1"/>
    <w:uiPriority w:val="0"/>
    <w:pPr>
      <w:widowControl/>
      <w:spacing w:before="100" w:beforeAutospacing="1" w:after="100" w:afterAutospacing="1"/>
      <w:jc w:val="left"/>
    </w:pPr>
    <w:rPr>
      <w:rFonts w:ascii="宋体" w:hAnsi="宋体" w:eastAsia="宋体"/>
      <w:kern w:val="0"/>
      <w:sz w:val="24"/>
      <w:szCs w:val="24"/>
    </w:rPr>
  </w:style>
  <w:style w:type="character" w:customStyle="1" w:styleId="276">
    <w:name w:val="ca-22"/>
    <w:basedOn w:val="43"/>
    <w:uiPriority w:val="0"/>
  </w:style>
  <w:style w:type="character" w:customStyle="1" w:styleId="277">
    <w:name w:val="ca-12"/>
    <w:basedOn w:val="43"/>
    <w:uiPriority w:val="0"/>
  </w:style>
  <w:style w:type="paragraph" w:customStyle="1" w:styleId="278">
    <w:name w:val="pa-6"/>
    <w:basedOn w:val="1"/>
    <w:uiPriority w:val="0"/>
    <w:pPr>
      <w:widowControl/>
      <w:spacing w:before="100" w:beforeAutospacing="1" w:after="100" w:afterAutospacing="1"/>
      <w:jc w:val="left"/>
    </w:pPr>
    <w:rPr>
      <w:rFonts w:ascii="宋体" w:hAnsi="宋体" w:eastAsia="宋体"/>
      <w:kern w:val="0"/>
      <w:sz w:val="24"/>
      <w:szCs w:val="24"/>
    </w:rPr>
  </w:style>
  <w:style w:type="paragraph" w:customStyle="1" w:styleId="279">
    <w:name w:val="pa-8"/>
    <w:basedOn w:val="1"/>
    <w:uiPriority w:val="0"/>
    <w:pPr>
      <w:widowControl/>
      <w:spacing w:before="100" w:beforeAutospacing="1" w:after="100" w:afterAutospacing="1"/>
      <w:jc w:val="left"/>
    </w:pPr>
    <w:rPr>
      <w:rFonts w:ascii="宋体" w:hAnsi="宋体" w:eastAsia="宋体"/>
      <w:kern w:val="0"/>
      <w:sz w:val="24"/>
      <w:szCs w:val="24"/>
    </w:rPr>
  </w:style>
  <w:style w:type="paragraph" w:customStyle="1" w:styleId="280">
    <w:name w:val="样式 标题 3Level 3 Headsect1.2.3H3Underrubrik2Sub headingh3hh..."/>
    <w:basedOn w:val="4"/>
    <w:uiPriority w:val="0"/>
    <w:pPr>
      <w:tabs>
        <w:tab w:val="left" w:pos="1418"/>
      </w:tabs>
      <w:spacing w:line="600" w:lineRule="exact"/>
      <w:ind w:left="1418" w:hanging="567"/>
    </w:pPr>
    <w:rPr>
      <w:rFonts w:ascii="宋体" w:hAnsi="宋体"/>
      <w:sz w:val="24"/>
      <w:szCs w:val="24"/>
    </w:rPr>
  </w:style>
  <w:style w:type="paragraph" w:customStyle="1" w:styleId="281">
    <w:name w:val="一级条标题"/>
    <w:basedOn w:val="1"/>
    <w:next w:val="1"/>
    <w:uiPriority w:val="0"/>
    <w:pPr>
      <w:widowControl/>
      <w:outlineLvl w:val="2"/>
    </w:pPr>
    <w:rPr>
      <w:rFonts w:ascii="黑体" w:eastAsia="黑体"/>
      <w:kern w:val="0"/>
      <w:sz w:val="21"/>
    </w:rPr>
  </w:style>
  <w:style w:type="paragraph" w:customStyle="1" w:styleId="282">
    <w:name w:val="三级条标题"/>
    <w:basedOn w:val="1"/>
    <w:next w:val="1"/>
    <w:uiPriority w:val="0"/>
    <w:pPr>
      <w:widowControl/>
      <w:tabs>
        <w:tab w:val="left" w:pos="360"/>
      </w:tabs>
      <w:outlineLvl w:val="4"/>
    </w:pPr>
    <w:rPr>
      <w:rFonts w:ascii="黑体" w:eastAsia="黑体"/>
      <w:kern w:val="0"/>
      <w:sz w:val="21"/>
    </w:rPr>
  </w:style>
  <w:style w:type="paragraph" w:customStyle="1" w:styleId="283">
    <w:name w:val="四级条标题"/>
    <w:basedOn w:val="282"/>
    <w:next w:val="1"/>
    <w:uiPriority w:val="0"/>
    <w:pPr>
      <w:tabs>
        <w:tab w:val="left" w:pos="2040"/>
      </w:tabs>
      <w:ind w:left="2040" w:leftChars="800" w:hanging="360" w:hangingChars="200"/>
      <w:outlineLvl w:val="5"/>
    </w:pPr>
  </w:style>
  <w:style w:type="paragraph" w:customStyle="1" w:styleId="284">
    <w:name w:val="五级条标题"/>
    <w:basedOn w:val="283"/>
    <w:next w:val="1"/>
    <w:uiPriority w:val="0"/>
    <w:pPr>
      <w:ind w:left="2040" w:leftChars="800" w:hanging="360" w:hangingChars="200"/>
      <w:outlineLvl w:val="6"/>
    </w:pPr>
  </w:style>
  <w:style w:type="paragraph" w:customStyle="1" w:styleId="285">
    <w:name w:val="线型"/>
    <w:basedOn w:val="286"/>
    <w:uiPriority w:val="0"/>
    <w:pPr>
      <w:spacing w:line="240" w:lineRule="auto"/>
      <w:ind w:left="0" w:firstLine="0"/>
      <w:jc w:val="center"/>
    </w:pPr>
    <w:rPr>
      <w:sz w:val="21"/>
    </w:rPr>
  </w:style>
  <w:style w:type="paragraph" w:customStyle="1" w:styleId="286">
    <w:name w:val="抄送栏"/>
    <w:basedOn w:val="1"/>
    <w:uiPriority w:val="0"/>
    <w:pPr>
      <w:autoSpaceDE w:val="0"/>
      <w:autoSpaceDN w:val="0"/>
      <w:adjustRightInd w:val="0"/>
      <w:spacing w:line="454" w:lineRule="atLeast"/>
      <w:ind w:left="851" w:hanging="851"/>
    </w:pPr>
    <w:rPr>
      <w:rFonts w:ascii="汉鼎简仿宋" w:eastAsia="汉鼎简仿宋"/>
      <w:snapToGrid w:val="0"/>
      <w:kern w:val="0"/>
      <w:sz w:val="28"/>
    </w:rPr>
  </w:style>
  <w:style w:type="character" w:customStyle="1" w:styleId="287">
    <w:name w:val="标题 1 Char"/>
    <w:basedOn w:val="43"/>
    <w:locked/>
    <w:uiPriority w:val="0"/>
    <w:rPr>
      <w:rFonts w:eastAsia="宋体"/>
      <w:b/>
      <w:bCs/>
      <w:kern w:val="44"/>
      <w:sz w:val="44"/>
      <w:szCs w:val="44"/>
      <w:lang w:val="en-US" w:eastAsia="zh-CN" w:bidi="ar-SA"/>
    </w:rPr>
  </w:style>
  <w:style w:type="paragraph" w:customStyle="1" w:styleId="288">
    <w:name w:val="Char Char Char Char Char Char Char Char Char Char Char Char Char Char Char Char Char Char Char Char Char Char Char Char Char Char Char Char Char Char Char Char Char"/>
    <w:basedOn w:val="1"/>
    <w:autoRedefine/>
    <w:uiPriority w:val="0"/>
    <w:pPr>
      <w:widowControl/>
      <w:spacing w:after="160" w:line="240" w:lineRule="exact"/>
      <w:jc w:val="left"/>
    </w:pPr>
    <w:rPr>
      <w:rFonts w:ascii="Verdana" w:hAnsi="Verdana" w:eastAsia="仿宋_GB2312"/>
      <w:kern w:val="0"/>
      <w:sz w:val="24"/>
      <w:lang w:eastAsia="en-US"/>
    </w:rPr>
  </w:style>
  <w:style w:type="character" w:customStyle="1" w:styleId="289">
    <w:name w:val="Char Char21"/>
    <w:locked/>
    <w:uiPriority w:val="0"/>
    <w:rPr>
      <w:rFonts w:ascii="宋体" w:hAnsi="Courier New" w:eastAsia="宋体" w:cs="Courier New"/>
      <w:kern w:val="2"/>
      <w:sz w:val="21"/>
      <w:szCs w:val="21"/>
      <w:lang w:val="en-US" w:eastAsia="zh-CN" w:bidi="ar-SA"/>
    </w:rPr>
  </w:style>
  <w:style w:type="paragraph" w:customStyle="1" w:styleId="290">
    <w:name w:val="Char11"/>
    <w:basedOn w:val="1"/>
    <w:autoRedefine/>
    <w:uiPriority w:val="0"/>
    <w:pPr>
      <w:widowControl/>
      <w:spacing w:after="160" w:line="240" w:lineRule="exact"/>
      <w:jc w:val="left"/>
    </w:pPr>
    <w:rPr>
      <w:rFonts w:ascii="Verdana" w:hAnsi="Verdana" w:eastAsia="仿宋_GB2312"/>
      <w:kern w:val="0"/>
      <w:sz w:val="24"/>
      <w:szCs w:val="24"/>
      <w:lang w:eastAsia="en-US"/>
    </w:rPr>
  </w:style>
  <w:style w:type="paragraph" w:customStyle="1" w:styleId="291">
    <w:name w:val="Char Char Char Char Char Char Char Char Char Char Char Char Char Char Char Char Char Char Char Char Char Char Char Char Char Char Char Char Char Char Char Char Char2"/>
    <w:basedOn w:val="1"/>
    <w:autoRedefine/>
    <w:uiPriority w:val="0"/>
    <w:pPr>
      <w:widowControl/>
      <w:spacing w:after="160" w:line="240" w:lineRule="exact"/>
      <w:jc w:val="left"/>
    </w:pPr>
    <w:rPr>
      <w:rFonts w:ascii="Verdana" w:hAnsi="Verdana" w:eastAsia="仿宋_GB2312"/>
      <w:kern w:val="0"/>
      <w:sz w:val="24"/>
      <w:szCs w:val="24"/>
      <w:lang w:eastAsia="en-US"/>
    </w:rPr>
  </w:style>
  <w:style w:type="character" w:customStyle="1" w:styleId="292">
    <w:name w:val="fccde55976-65d2-4d92-8453-da735845cbf4-0"/>
    <w:basedOn w:val="43"/>
    <w:uiPriority w:val="0"/>
  </w:style>
  <w:style w:type="character" w:customStyle="1" w:styleId="293">
    <w:name w:val="properhead"/>
    <w:basedOn w:val="43"/>
    <w:uiPriority w:val="0"/>
    <w:rPr>
      <w:rFonts w:cs="Times New Roman"/>
    </w:rPr>
  </w:style>
  <w:style w:type="paragraph" w:customStyle="1" w:styleId="294">
    <w:name w:val="样式"/>
    <w:basedOn w:val="1"/>
    <w:next w:val="19"/>
    <w:uiPriority w:val="0"/>
    <w:pPr>
      <w:spacing w:line="590" w:lineRule="exact"/>
      <w:ind w:firstLine="640" w:firstLineChars="200"/>
    </w:pPr>
    <w:rPr>
      <w:rFonts w:ascii="仿宋_GB2312" w:eastAsia="仿宋_GB2312"/>
      <w:sz w:val="32"/>
      <w:szCs w:val="24"/>
    </w:rPr>
  </w:style>
  <w:style w:type="character" w:customStyle="1" w:styleId="295">
    <w:name w:val="content1"/>
    <w:basedOn w:val="43"/>
    <w:uiPriority w:val="0"/>
    <w:rPr>
      <w:rFonts w:cs="Times New Roman"/>
      <w:sz w:val="21"/>
      <w:szCs w:val="21"/>
    </w:rPr>
  </w:style>
  <w:style w:type="paragraph" w:customStyle="1" w:styleId="296">
    <w:name w:val="样式2"/>
    <w:basedOn w:val="1"/>
    <w:next w:val="36"/>
    <w:uiPriority w:val="0"/>
    <w:rPr>
      <w:rFonts w:ascii="仿宋_GB2312" w:eastAsia="仿宋_GB2312"/>
      <w:szCs w:val="24"/>
    </w:rPr>
  </w:style>
  <w:style w:type="paragraph" w:customStyle="1" w:styleId="297">
    <w:name w:val="样式1"/>
    <w:uiPriority w:val="0"/>
    <w:pPr>
      <w:widowControl w:val="0"/>
      <w:autoSpaceDE w:val="0"/>
      <w:autoSpaceDN w:val="0"/>
      <w:adjustRightInd w:val="0"/>
    </w:pPr>
    <w:rPr>
      <w:rFonts w:ascii="宋体" w:hAnsi="宋体" w:eastAsia="宋体" w:cs="Times New Roman"/>
      <w:sz w:val="24"/>
      <w:szCs w:val="24"/>
      <w:lang w:val="en-US" w:eastAsia="zh-CN" w:bidi="ar-SA"/>
    </w:rPr>
  </w:style>
  <w:style w:type="paragraph" w:customStyle="1" w:styleId="298">
    <w:name w:val="Char Char Char3 Char Char Char Char"/>
    <w:basedOn w:val="1"/>
    <w:autoRedefine/>
    <w:uiPriority w:val="0"/>
    <w:pPr>
      <w:widowControl/>
      <w:spacing w:after="160" w:line="240" w:lineRule="exact"/>
      <w:jc w:val="left"/>
    </w:pPr>
    <w:rPr>
      <w:rFonts w:ascii="Verdana" w:hAnsi="Verdana" w:eastAsia="仿宋_GB2312"/>
      <w:kern w:val="0"/>
      <w:sz w:val="24"/>
      <w:szCs w:val="24"/>
      <w:lang w:eastAsia="en-US"/>
    </w:rPr>
  </w:style>
  <w:style w:type="paragraph" w:customStyle="1" w:styleId="299">
    <w:name w:val="标题2"/>
    <w:basedOn w:val="1"/>
    <w:next w:val="1"/>
    <w:autoRedefine/>
    <w:uiPriority w:val="0"/>
    <w:pPr>
      <w:autoSpaceDE w:val="0"/>
      <w:autoSpaceDN w:val="0"/>
      <w:snapToGrid w:val="0"/>
      <w:spacing w:line="590" w:lineRule="atLeast"/>
      <w:jc w:val="center"/>
    </w:pPr>
    <w:rPr>
      <w:rFonts w:ascii="方正楷体_GBK" w:eastAsia="方正楷体_GBK"/>
      <w:snapToGrid w:val="0"/>
      <w:kern w:val="0"/>
      <w:sz w:val="32"/>
    </w:rPr>
  </w:style>
  <w:style w:type="paragraph" w:customStyle="1" w:styleId="300">
    <w:name w:val="Char Char Char Char Char Char Char Char Char Char Char Char Char Char Char Char Char Char Char Char Char Char Char Char Char Char Char Char Char Char Char Char Char1"/>
    <w:basedOn w:val="1"/>
    <w:autoRedefine/>
    <w:uiPriority w:val="0"/>
    <w:pPr>
      <w:widowControl/>
      <w:spacing w:after="160" w:line="240" w:lineRule="exact"/>
      <w:jc w:val="left"/>
    </w:pPr>
    <w:rPr>
      <w:rFonts w:ascii="Verdana" w:hAnsi="Verdana" w:eastAsia="仿宋_GB2312"/>
      <w:kern w:val="0"/>
      <w:sz w:val="24"/>
      <w:lang w:eastAsia="en-US"/>
    </w:rPr>
  </w:style>
  <w:style w:type="paragraph" w:customStyle="1" w:styleId="301">
    <w:name w:val="_Style 5"/>
    <w:basedOn w:val="1"/>
    <w:uiPriority w:val="0"/>
    <w:pPr>
      <w:widowControl/>
      <w:spacing w:after="160" w:line="240" w:lineRule="exact"/>
      <w:jc w:val="left"/>
    </w:pPr>
    <w:rPr>
      <w:rFonts w:eastAsia="宋体"/>
      <w:sz w:val="21"/>
      <w:szCs w:val="24"/>
    </w:rPr>
  </w:style>
  <w:style w:type="paragraph" w:customStyle="1" w:styleId="302">
    <w:name w:val="印发份数"/>
    <w:basedOn w:val="1"/>
    <w:uiPriority w:val="0"/>
    <w:pPr>
      <w:jc w:val="right"/>
    </w:pPr>
    <w:rPr>
      <w:rFonts w:ascii="仿宋_GB2312" w:eastAsia="仿宋_GB2312"/>
      <w:sz w:val="32"/>
    </w:rPr>
  </w:style>
  <w:style w:type="character" w:customStyle="1" w:styleId="303">
    <w:name w:val="hei141"/>
    <w:uiPriority w:val="0"/>
    <w:rPr>
      <w:rFonts w:ascii="宋体" w:hAnsi="宋体" w:eastAsia="宋体"/>
      <w:color w:val="000000"/>
      <w:sz w:val="21"/>
      <w:u w:val="none"/>
    </w:rPr>
  </w:style>
  <w:style w:type="character" w:customStyle="1" w:styleId="304">
    <w:name w:val="font71"/>
    <w:basedOn w:val="43"/>
    <w:qFormat/>
    <w:uiPriority w:val="0"/>
    <w:rPr>
      <w:rFonts w:hint="default" w:ascii="Times New Roman" w:hAnsi="Times New Roman" w:cs="Times New Roman"/>
      <w:color w:val="000000"/>
      <w:sz w:val="24"/>
      <w:szCs w:val="24"/>
      <w:u w:val="none"/>
    </w:rPr>
  </w:style>
  <w:style w:type="character" w:customStyle="1" w:styleId="305">
    <w:name w:val="font41"/>
    <w:basedOn w:val="43"/>
    <w:qFormat/>
    <w:uiPriority w:val="0"/>
    <w:rPr>
      <w:rFonts w:hint="eastAsia" w:ascii="宋体" w:hAnsi="宋体" w:eastAsia="宋体" w:cs="宋体"/>
      <w:color w:val="000000"/>
      <w:sz w:val="24"/>
      <w:szCs w:val="24"/>
      <w:u w:val="none"/>
    </w:rPr>
  </w:style>
  <w:style w:type="paragraph" w:customStyle="1" w:styleId="306">
    <w:name w:val="custom_unionstyle"/>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307">
    <w:name w:val="Char Char Char Char1 Char Char"/>
    <w:basedOn w:val="1"/>
    <w:qFormat/>
    <w:uiPriority w:val="0"/>
    <w:rPr>
      <w:rFonts w:eastAsia="宋体"/>
      <w:sz w:val="21"/>
    </w:rPr>
  </w:style>
  <w:style w:type="paragraph" w:customStyle="1" w:styleId="308">
    <w:name w:val="1 字元 字元 字元10 字元 字元 字元 字元 字元 字元2 字元 字元 字元 字元 字元 字元 字元 字元 字元2 字元 字元 字元 字元 字元 字元 字元 字元 字元 字元 字元 字元 字元 字元 字元 字元 字元 字元24 字元 字元 字元 字元 字元 字元 字元 字元 字元 字元 字元 字元 字元"/>
    <w:basedOn w:val="1"/>
    <w:qFormat/>
    <w:uiPriority w:val="0"/>
    <w:pPr>
      <w:widowControl/>
      <w:spacing w:after="160" w:line="240" w:lineRule="exact"/>
      <w:jc w:val="left"/>
    </w:pPr>
    <w:rPr>
      <w:rFonts w:ascii="Verdana" w:hAnsi="Verdana" w:eastAsia="宋体"/>
      <w:kern w:val="0"/>
      <w:sz w:val="20"/>
      <w:lang w:eastAsia="en-US"/>
    </w:rPr>
  </w:style>
  <w:style w:type="character" w:customStyle="1" w:styleId="309">
    <w:name w:val="font01"/>
    <w:basedOn w:val="43"/>
    <w:qFormat/>
    <w:uiPriority w:val="0"/>
    <w:rPr>
      <w:rFonts w:hint="eastAsia" w:ascii="宋体" w:hAnsi="宋体" w:eastAsia="宋体" w:cs="宋体"/>
      <w:color w:val="000000"/>
      <w:sz w:val="22"/>
      <w:szCs w:val="22"/>
      <w:u w:val="none"/>
      <w:vertAlign w:val="superscript"/>
    </w:rPr>
  </w:style>
  <w:style w:type="character" w:customStyle="1" w:styleId="310">
    <w:name w:val="font21"/>
    <w:basedOn w:val="43"/>
    <w:qFormat/>
    <w:uiPriority w:val="0"/>
    <w:rPr>
      <w:rFonts w:hint="eastAsia" w:ascii="宋体" w:hAnsi="宋体" w:eastAsia="宋体" w:cs="宋体"/>
      <w:color w:val="000000"/>
      <w:sz w:val="22"/>
      <w:szCs w:val="22"/>
      <w:u w:val="none"/>
    </w:rPr>
  </w:style>
  <w:style w:type="paragraph" w:customStyle="1" w:styleId="311">
    <w:name w:val="Char Char Char Char Char Char Char"/>
    <w:basedOn w:val="1"/>
    <w:qFormat/>
    <w:uiPriority w:val="0"/>
    <w:rPr>
      <w:rFonts w:ascii="宋体" w:hAnsi="宋体" w:eastAsia="宋体" w:cs="Courier New"/>
      <w:sz w:val="32"/>
      <w:szCs w:val="32"/>
    </w:rPr>
  </w:style>
  <w:style w:type="paragraph" w:customStyle="1" w:styleId="312">
    <w:name w:val="表格"/>
    <w:qFormat/>
    <w:uiPriority w:val="0"/>
    <w:pPr>
      <w:jc w:val="center"/>
    </w:pPr>
    <w:rPr>
      <w:rFonts w:ascii="Times New Roman" w:hAnsi="Times New Roman" w:eastAsia="楷体_GB2312" w:cs="Times New Roman"/>
      <w:kern w:val="2"/>
      <w:sz w:val="21"/>
      <w:szCs w:val="21"/>
      <w:lang w:val="en-US" w:eastAsia="zh-CN" w:bidi="ar-SA"/>
    </w:rPr>
  </w:style>
  <w:style w:type="paragraph" w:customStyle="1" w:styleId="313">
    <w:name w:val="Table Paragraph"/>
    <w:basedOn w:val="1"/>
    <w:qFormat/>
    <w:uiPriority w:val="0"/>
    <w:pPr>
      <w:jc w:val="left"/>
    </w:pPr>
    <w:rPr>
      <w:rFonts w:ascii="??" w:hAnsi="??" w:eastAsia="Times New Roman"/>
      <w:kern w:val="0"/>
      <w:sz w:val="22"/>
      <w:szCs w:val="22"/>
      <w:lang w:eastAsia="en-US"/>
    </w:rPr>
  </w:style>
  <w:style w:type="paragraph" w:customStyle="1" w:styleId="314">
    <w:name w:val="1标题"/>
    <w:basedOn w:val="2"/>
    <w:next w:val="315"/>
    <w:qFormat/>
    <w:uiPriority w:val="0"/>
    <w:pPr>
      <w:keepNext/>
      <w:keepLines/>
      <w:tabs>
        <w:tab w:val="left" w:pos="360"/>
      </w:tabs>
      <w:snapToGrid w:val="0"/>
      <w:spacing w:beforeLines="50" w:afterLines="50"/>
      <w:ind w:left="840" w:firstLine="0" w:firstLineChars="0"/>
    </w:pPr>
    <w:rPr>
      <w:rFonts w:eastAsia="仿宋_GB2312"/>
      <w:b/>
      <w:sz w:val="28"/>
      <w:szCs w:val="28"/>
    </w:rPr>
  </w:style>
  <w:style w:type="paragraph" w:customStyle="1" w:styleId="315">
    <w:name w:val="1预案正文"/>
    <w:basedOn w:val="1"/>
    <w:qFormat/>
    <w:uiPriority w:val="0"/>
    <w:pPr>
      <w:snapToGrid w:val="0"/>
      <w:spacing w:line="500" w:lineRule="exact"/>
      <w:ind w:firstLine="200" w:firstLineChars="200"/>
    </w:pPr>
    <w:rPr>
      <w:rFonts w:eastAsia="仿宋_GB2312"/>
      <w:sz w:val="28"/>
      <w:szCs w:val="28"/>
    </w:rPr>
  </w:style>
  <w:style w:type="paragraph" w:customStyle="1" w:styleId="316">
    <w:name w:val="正文文本 (2)"/>
    <w:basedOn w:val="1"/>
    <w:qFormat/>
    <w:uiPriority w:val="0"/>
    <w:pPr>
      <w:shd w:val="clear" w:color="auto" w:fill="FFFFFF"/>
      <w:spacing w:before="240" w:after="1140" w:line="240" w:lineRule="atLeast"/>
      <w:jc w:val="center"/>
    </w:pPr>
    <w:rPr>
      <w:rFonts w:ascii="MingLiU" w:hAnsi="MingLiU" w:eastAsia="MingLiU"/>
      <w:color w:val="000000"/>
      <w:spacing w:val="30"/>
      <w:kern w:val="0"/>
      <w:szCs w:val="30"/>
      <w:lang w:val="zh-CN"/>
    </w:rPr>
  </w:style>
  <w:style w:type="character" w:customStyle="1" w:styleId="317">
    <w:name w:val="正文文本 (2)_"/>
    <w:qFormat/>
    <w:locked/>
    <w:uiPriority w:val="0"/>
    <w:rPr>
      <w:rFonts w:ascii="MingLiU" w:hAnsi="MingLiU" w:eastAsia="MingLiU"/>
      <w:color w:val="000000"/>
      <w:spacing w:val="30"/>
      <w:sz w:val="30"/>
      <w:szCs w:val="30"/>
      <w:lang w:val="zh-CN" w:eastAsia="zh-CN" w:bidi="ar-SA"/>
    </w:rPr>
  </w:style>
  <w:style w:type="paragraph" w:customStyle="1" w:styleId="318">
    <w:name w:val="预案1.1"/>
    <w:basedOn w:val="1"/>
    <w:qFormat/>
    <w:uiPriority w:val="0"/>
    <w:pPr>
      <w:adjustRightInd w:val="0"/>
      <w:spacing w:line="346" w:lineRule="atLeast"/>
      <w:textAlignment w:val="baseline"/>
      <w:outlineLvl w:val="1"/>
    </w:pPr>
    <w:rPr>
      <w:rFonts w:eastAsia="宋体"/>
      <w:b/>
      <w:kern w:val="0"/>
      <w:sz w:val="24"/>
    </w:rPr>
  </w:style>
  <w:style w:type="paragraph" w:customStyle="1" w:styleId="319">
    <w:name w:val="预案1.1.1"/>
    <w:basedOn w:val="26"/>
    <w:qFormat/>
    <w:uiPriority w:val="0"/>
    <w:pPr>
      <w:adjustRightInd w:val="0"/>
      <w:spacing w:line="346" w:lineRule="atLeast"/>
      <w:ind w:left="0" w:right="39" w:firstLine="425"/>
      <w:textAlignment w:val="baseline"/>
      <w:outlineLvl w:val="2"/>
    </w:pPr>
    <w:rPr>
      <w:rFonts w:eastAsia="宋体"/>
      <w:b/>
      <w:kern w:val="0"/>
      <w:sz w:val="24"/>
    </w:rPr>
  </w:style>
  <w:style w:type="paragraph" w:customStyle="1" w:styleId="320">
    <w:name w:val="预案-正文缩进"/>
    <w:basedOn w:val="1"/>
    <w:qFormat/>
    <w:uiPriority w:val="0"/>
    <w:pPr>
      <w:adjustRightInd w:val="0"/>
      <w:spacing w:line="346" w:lineRule="atLeast"/>
      <w:ind w:firstLine="200" w:firstLineChars="200"/>
      <w:textAlignment w:val="baseline"/>
    </w:pPr>
    <w:rPr>
      <w:rFonts w:eastAsia="宋体"/>
      <w:kern w:val="0"/>
      <w:sz w:val="24"/>
    </w:rPr>
  </w:style>
  <w:style w:type="paragraph" w:customStyle="1" w:styleId="321">
    <w:name w:val="预案1"/>
    <w:basedOn w:val="1"/>
    <w:qFormat/>
    <w:uiPriority w:val="0"/>
    <w:pPr>
      <w:adjustRightInd w:val="0"/>
      <w:spacing w:line="346" w:lineRule="atLeast"/>
      <w:jc w:val="center"/>
      <w:outlineLvl w:val="0"/>
    </w:pPr>
    <w:rPr>
      <w:rFonts w:eastAsia="宋体"/>
      <w:b/>
      <w:kern w:val="0"/>
      <w:sz w:val="28"/>
    </w:rPr>
  </w:style>
  <w:style w:type="paragraph" w:customStyle="1" w:styleId="322">
    <w:name w:val="_Style 4"/>
    <w:basedOn w:val="1"/>
    <w:qFormat/>
    <w:uiPriority w:val="0"/>
    <w:pPr>
      <w:widowControl/>
      <w:spacing w:line="100" w:lineRule="atLeast"/>
      <w:ind w:firstLine="420" w:firstLineChars="200"/>
      <w:jc w:val="left"/>
    </w:pPr>
    <w:rPr>
      <w:rFonts w:ascii="Calibri" w:hAnsi="Calibri" w:eastAsia="宋体"/>
      <w:kern w:val="0"/>
      <w:sz w:val="16"/>
      <w:szCs w:val="16"/>
    </w:rPr>
  </w:style>
  <w:style w:type="paragraph" w:styleId="323">
    <w:name w:val="List Paragraph"/>
    <w:basedOn w:val="1"/>
    <w:qFormat/>
    <w:uiPriority w:val="0"/>
    <w:pPr>
      <w:widowControl/>
      <w:ind w:firstLine="420" w:firstLineChars="200"/>
      <w:jc w:val="left"/>
    </w:pPr>
    <w:rPr>
      <w:rFonts w:eastAsia="宋体"/>
      <w:kern w:val="0"/>
      <w:sz w:val="24"/>
      <w:szCs w:val="24"/>
    </w:rPr>
  </w:style>
  <w:style w:type="character" w:customStyle="1" w:styleId="324">
    <w:name w:val="标题 1 Char Char"/>
    <w:basedOn w:val="43"/>
    <w:qFormat/>
    <w:uiPriority w:val="0"/>
    <w:rPr>
      <w:rFonts w:eastAsia="方正小标宋_GBK"/>
      <w:bCs/>
      <w:kern w:val="44"/>
      <w:sz w:val="44"/>
      <w:szCs w:val="44"/>
      <w:lang w:val="en-US" w:eastAsia="zh-CN" w:bidi="ar-SA"/>
    </w:rPr>
  </w:style>
  <w:style w:type="character" w:customStyle="1" w:styleId="325">
    <w:name w:val="标题 7 Char"/>
    <w:basedOn w:val="43"/>
    <w:link w:val="8"/>
    <w:semiHidden/>
    <w:qFormat/>
    <w:uiPriority w:val="0"/>
    <w:rPr>
      <w:rFonts w:ascii="仿宋_GB2312" w:hAnsi="宋体" w:eastAsia="仿宋_GB2312"/>
      <w:b/>
      <w:bCs/>
      <w:kern w:val="2"/>
      <w:sz w:val="24"/>
      <w:szCs w:val="32"/>
      <w:lang w:val="en-US" w:eastAsia="zh-CN" w:bidi="ar-SA"/>
    </w:rPr>
  </w:style>
  <w:style w:type="character" w:customStyle="1" w:styleId="326">
    <w:name w:val="标题 8 Char"/>
    <w:basedOn w:val="43"/>
    <w:link w:val="9"/>
    <w:semiHidden/>
    <w:qFormat/>
    <w:uiPriority w:val="0"/>
    <w:rPr>
      <w:rFonts w:ascii="Arial" w:hAnsi="Arial" w:eastAsia="黑体"/>
      <w:kern w:val="2"/>
      <w:sz w:val="24"/>
      <w:szCs w:val="32"/>
      <w:lang w:val="en-US" w:eastAsia="zh-CN" w:bidi="ar-SA"/>
    </w:rPr>
  </w:style>
  <w:style w:type="character" w:customStyle="1" w:styleId="327">
    <w:name w:val="标题 9 Char"/>
    <w:basedOn w:val="43"/>
    <w:link w:val="10"/>
    <w:semiHidden/>
    <w:qFormat/>
    <w:uiPriority w:val="0"/>
    <w:rPr>
      <w:rFonts w:ascii="Arial" w:hAnsi="Arial" w:eastAsia="黑体"/>
      <w:kern w:val="2"/>
      <w:sz w:val="21"/>
      <w:szCs w:val="21"/>
      <w:lang w:val="en-US" w:eastAsia="zh-CN" w:bidi="ar-SA"/>
    </w:rPr>
  </w:style>
  <w:style w:type="paragraph" w:customStyle="1" w:styleId="328">
    <w:name w:val="样式 标题 1 + 首行缩进:  2 字符"/>
    <w:basedOn w:val="2"/>
    <w:autoRedefine/>
    <w:qFormat/>
    <w:uiPriority w:val="0"/>
    <w:pPr>
      <w:spacing w:line="300" w:lineRule="auto"/>
      <w:ind w:firstLine="0" w:firstLineChars="0"/>
      <w:jc w:val="center"/>
    </w:pPr>
    <w:rPr>
      <w:rFonts w:eastAsia="方正小标宋_GBK" w:cs="宋体"/>
      <w:bCs w:val="0"/>
      <w:sz w:val="44"/>
      <w:szCs w:val="20"/>
    </w:rPr>
  </w:style>
  <w:style w:type="character" w:customStyle="1" w:styleId="329">
    <w:name w:val="批注文字 Char"/>
    <w:link w:val="16"/>
    <w:qFormat/>
    <w:uiPriority w:val="0"/>
    <w:rPr>
      <w:rFonts w:ascii="Calibri" w:hAnsi="Calibri" w:eastAsia="宋体"/>
      <w:kern w:val="2"/>
      <w:sz w:val="21"/>
      <w:szCs w:val="22"/>
      <w:lang w:val="en-US" w:eastAsia="zh-CN" w:bidi="ar-SA"/>
    </w:rPr>
  </w:style>
  <w:style w:type="character" w:customStyle="1" w:styleId="330">
    <w:name w:val="文档结构图 Char"/>
    <w:basedOn w:val="43"/>
    <w:link w:val="15"/>
    <w:semiHidden/>
    <w:qFormat/>
    <w:uiPriority w:val="0"/>
    <w:rPr>
      <w:rFonts w:ascii="Microsoft YaHei UI" w:hAnsi="Calibri" w:eastAsia="Microsoft YaHei UI"/>
      <w:sz w:val="18"/>
      <w:lang w:val="en-US" w:eastAsia="zh-CN" w:bidi="ar-SA"/>
    </w:rPr>
  </w:style>
  <w:style w:type="character" w:customStyle="1" w:styleId="331">
    <w:name w:val="批注主题 Char"/>
    <w:basedOn w:val="332"/>
    <w:link w:val="40"/>
    <w:semiHidden/>
    <w:qFormat/>
    <w:locked/>
    <w:uiPriority w:val="0"/>
    <w:rPr>
      <w:rFonts w:ascii="Calibri" w:hAnsi="Calibri"/>
      <w:b/>
      <w:bCs/>
      <w:kern w:val="2"/>
      <w:sz w:val="21"/>
      <w:szCs w:val="22"/>
      <w:lang w:val="en-US" w:eastAsia="zh-CN" w:bidi="ar-SA"/>
    </w:rPr>
  </w:style>
  <w:style w:type="character" w:customStyle="1" w:styleId="332">
    <w:name w:val="Comment Text Char"/>
    <w:basedOn w:val="43"/>
    <w:semiHidden/>
    <w:qFormat/>
    <w:locked/>
    <w:uiPriority w:val="0"/>
    <w:rPr>
      <w:rFonts w:ascii="Times New Roman" w:hAnsi="Times New Roman" w:eastAsia="宋体" w:cs="Times New Roman"/>
      <w:sz w:val="24"/>
    </w:rPr>
  </w:style>
  <w:style w:type="character" w:customStyle="1" w:styleId="333">
    <w:name w:val="正文文本缩进 Char"/>
    <w:link w:val="19"/>
    <w:qFormat/>
    <w:uiPriority w:val="0"/>
    <w:rPr>
      <w:rFonts w:ascii="方正仿宋_GBK" w:eastAsia="方正仿宋_GBK"/>
      <w:bCs/>
      <w:kern w:val="2"/>
      <w:sz w:val="32"/>
      <w:szCs w:val="32"/>
      <w:lang w:val="en-US" w:eastAsia="zh-CN" w:bidi="ar-SA"/>
    </w:rPr>
  </w:style>
  <w:style w:type="character" w:customStyle="1" w:styleId="334">
    <w:name w:val="HTML 预设格式 Char"/>
    <w:link w:val="37"/>
    <w:qFormat/>
    <w:uiPriority w:val="0"/>
    <w:rPr>
      <w:rFonts w:ascii="黑体" w:hAnsi="Courier New" w:eastAsia="黑体" w:cs="Courier New"/>
      <w:lang w:val="en-US" w:eastAsia="zh-CN" w:bidi="ar-SA"/>
    </w:rPr>
  </w:style>
  <w:style w:type="character" w:customStyle="1" w:styleId="335">
    <w:name w:val="正文文本缩进 2 Char"/>
    <w:link w:val="26"/>
    <w:qFormat/>
    <w:uiPriority w:val="0"/>
    <w:rPr>
      <w:rFonts w:eastAsia="方正仿宋简体"/>
      <w:kern w:val="2"/>
      <w:sz w:val="28"/>
      <w:lang w:val="en-US" w:eastAsia="zh-CN" w:bidi="ar-SA"/>
    </w:rPr>
  </w:style>
  <w:style w:type="character" w:customStyle="1" w:styleId="336">
    <w:name w:val="正文文本 2 Char"/>
    <w:basedOn w:val="43"/>
    <w:link w:val="36"/>
    <w:semiHidden/>
    <w:qFormat/>
    <w:locked/>
    <w:uiPriority w:val="0"/>
    <w:rPr>
      <w:rFonts w:eastAsia="方正小标宋_GBK"/>
      <w:kern w:val="2"/>
      <w:sz w:val="44"/>
      <w:szCs w:val="36"/>
      <w:lang w:val="en-US" w:eastAsia="zh-CN" w:bidi="ar-SA"/>
    </w:rPr>
  </w:style>
  <w:style w:type="character" w:customStyle="1" w:styleId="337">
    <w:name w:val="正文文本缩进 3 Char"/>
    <w:basedOn w:val="43"/>
    <w:link w:val="33"/>
    <w:semiHidden/>
    <w:qFormat/>
    <w:locked/>
    <w:uiPriority w:val="0"/>
    <w:rPr>
      <w:rFonts w:eastAsia="方正仿宋_GBK"/>
      <w:kern w:val="2"/>
      <w:sz w:val="32"/>
      <w:szCs w:val="32"/>
      <w:lang w:val="en-US" w:eastAsia="zh-CN" w:bidi="ar-SA"/>
    </w:rPr>
  </w:style>
  <w:style w:type="paragraph" w:customStyle="1" w:styleId="338">
    <w:name w:val="Revision"/>
    <w:semiHidden/>
    <w:qFormat/>
    <w:uiPriority w:val="0"/>
    <w:rPr>
      <w:rFonts w:ascii="Calibri" w:hAnsi="Calibri" w:eastAsia="宋体" w:cs="Times New Roman"/>
      <w:kern w:val="2"/>
      <w:sz w:val="21"/>
      <w:szCs w:val="24"/>
      <w:lang w:val="en-US" w:eastAsia="zh-CN" w:bidi="ar-SA"/>
    </w:rPr>
  </w:style>
  <w:style w:type="paragraph" w:customStyle="1" w:styleId="339">
    <w:name w:val="修订11"/>
    <w:hidden/>
    <w:semiHidden/>
    <w:qFormat/>
    <w:uiPriority w:val="0"/>
    <w:rPr>
      <w:rFonts w:ascii="Times New Roman" w:hAnsi="Times New Roman" w:eastAsia="宋体" w:cs="Times New Roman"/>
      <w:kern w:val="2"/>
      <w:sz w:val="21"/>
      <w:szCs w:val="24"/>
      <w:lang w:val="en-US" w:eastAsia="zh-CN" w:bidi="ar-SA"/>
    </w:rPr>
  </w:style>
  <w:style w:type="character" w:customStyle="1" w:styleId="340">
    <w:name w:val="Date Char"/>
    <w:semiHidden/>
    <w:qFormat/>
    <w:locked/>
    <w:uiPriority w:val="0"/>
    <w:rPr>
      <w:rFonts w:ascii="Times New Roman" w:hAnsi="Times New Roman"/>
      <w:kern w:val="2"/>
      <w:sz w:val="24"/>
    </w:rPr>
  </w:style>
  <w:style w:type="paragraph" w:customStyle="1" w:styleId="341">
    <w:name w:val="样式 标题 1标书1h1H1L1bocSection Head1st levell1H11H12H13H..."/>
    <w:basedOn w:val="2"/>
    <w:autoRedefine/>
    <w:qFormat/>
    <w:uiPriority w:val="0"/>
    <w:pPr>
      <w:spacing w:line="300" w:lineRule="auto"/>
      <w:ind w:firstLine="0" w:firstLineChars="0"/>
      <w:jc w:val="center"/>
    </w:pPr>
    <w:rPr>
      <w:rFonts w:eastAsia="方正小标宋_GBK" w:cs="宋体"/>
      <w:bCs w:val="0"/>
      <w:sz w:val="44"/>
      <w:szCs w:val="20"/>
    </w:rPr>
  </w:style>
  <w:style w:type="paragraph" w:customStyle="1" w:styleId="342">
    <w:name w:val="样式 标题 2 + 首行缩进:  2 字符"/>
    <w:basedOn w:val="3"/>
    <w:autoRedefine/>
    <w:qFormat/>
    <w:uiPriority w:val="0"/>
    <w:rPr>
      <w:rFonts w:cs="宋体"/>
      <w:b w:val="0"/>
      <w:szCs w:val="20"/>
    </w:rPr>
  </w:style>
  <w:style w:type="paragraph" w:customStyle="1" w:styleId="343">
    <w:name w:val="样式 标题 4 + Times New Roman 首行缩进:  12.1 毫米"/>
    <w:basedOn w:val="5"/>
    <w:autoRedefine/>
    <w:qFormat/>
    <w:uiPriority w:val="0"/>
    <w:pPr>
      <w:spacing w:before="0" w:after="0" w:line="300" w:lineRule="auto"/>
      <w:ind w:firstLine="227"/>
    </w:pPr>
    <w:rPr>
      <w:rFonts w:ascii="方正仿宋_GBK" w:hAnsi="Times New Roman" w:eastAsia="方正仿宋_GBK" w:cs="宋体"/>
      <w:b w:val="0"/>
      <w:sz w:val="32"/>
      <w:szCs w:val="20"/>
    </w:rPr>
  </w:style>
  <w:style w:type="paragraph" w:customStyle="1" w:styleId="344">
    <w:name w:val="Char1 Char Char Char1"/>
    <w:basedOn w:val="1"/>
    <w:qFormat/>
    <w:uiPriority w:val="0"/>
    <w:rPr>
      <w:rFonts w:ascii="Tahoma" w:hAnsi="Tahoma" w:eastAsia="宋体"/>
      <w:sz w:val="24"/>
    </w:rPr>
  </w:style>
  <w:style w:type="character" w:customStyle="1" w:styleId="345">
    <w:name w:val="Char Char15"/>
    <w:basedOn w:val="43"/>
    <w:qFormat/>
    <w:uiPriority w:val="0"/>
    <w:rPr>
      <w:rFonts w:ascii="Cambria" w:hAnsi="Cambria" w:eastAsia="方正仿宋_GBK" w:cs="Cambria"/>
      <w:b/>
      <w:bCs/>
      <w:kern w:val="2"/>
      <w:sz w:val="32"/>
      <w:szCs w:val="32"/>
      <w:lang w:val="en-US" w:eastAsia="zh-CN" w:bidi="ar-SA"/>
    </w:rPr>
  </w:style>
  <w:style w:type="paragraph" w:customStyle="1" w:styleId="346">
    <w:name w:val="msonormalcxspmiddl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47">
    <w:name w:val="Char Char7"/>
    <w:qFormat/>
    <w:uiPriority w:val="0"/>
    <w:rPr>
      <w:rFonts w:ascii="华文中宋" w:eastAsia="华文中宋"/>
      <w:b/>
      <w:bCs/>
      <w:kern w:val="2"/>
      <w:sz w:val="36"/>
      <w:szCs w:val="36"/>
      <w:lang w:bidi="ar-SA"/>
    </w:rPr>
  </w:style>
  <w:style w:type="character" w:customStyle="1" w:styleId="348">
    <w:name w:val="Char Char31"/>
    <w:qFormat/>
    <w:uiPriority w:val="0"/>
    <w:rPr>
      <w:rFonts w:ascii="华文中宋" w:eastAsia="华文中宋"/>
      <w:b/>
      <w:bCs/>
      <w:kern w:val="2"/>
      <w:sz w:val="36"/>
      <w:szCs w:val="36"/>
      <w:lang w:bidi="ar-SA"/>
    </w:rPr>
  </w:style>
  <w:style w:type="character" w:customStyle="1" w:styleId="349">
    <w:name w:val="Char Char6"/>
    <w:qFormat/>
    <w:locked/>
    <w:uiPriority w:val="0"/>
    <w:rPr>
      <w:rFonts w:ascii="方正仿宋_GBK" w:hAnsi="Calibri" w:eastAsia="黑体" w:cs="方正仿宋_GBK"/>
      <w:b/>
      <w:bCs/>
      <w:kern w:val="44"/>
      <w:sz w:val="32"/>
      <w:szCs w:val="32"/>
      <w:lang w:val="en-US" w:eastAsia="zh-CN" w:bidi="ar-SA"/>
    </w:rPr>
  </w:style>
  <w:style w:type="character" w:customStyle="1" w:styleId="350">
    <w:name w:val="Char Char5"/>
    <w:qFormat/>
    <w:locked/>
    <w:uiPriority w:val="0"/>
    <w:rPr>
      <w:rFonts w:ascii="Cambria" w:hAnsi="Cambria" w:eastAsia="方正仿宋_GBK" w:cs="Cambria"/>
      <w:b/>
      <w:bCs/>
      <w:kern w:val="2"/>
      <w:sz w:val="32"/>
      <w:szCs w:val="32"/>
      <w:lang w:val="en-US" w:eastAsia="zh-CN" w:bidi="ar-SA"/>
    </w:rPr>
  </w:style>
  <w:style w:type="character" w:customStyle="1" w:styleId="351">
    <w:name w:val="Char Char41"/>
    <w:qFormat/>
    <w:locked/>
    <w:uiPriority w:val="0"/>
    <w:rPr>
      <w:rFonts w:eastAsia="宋体"/>
      <w:kern w:val="2"/>
      <w:sz w:val="18"/>
      <w:szCs w:val="18"/>
      <w:lang w:val="en-US" w:eastAsia="zh-CN" w:bidi="ar-SA"/>
    </w:rPr>
  </w:style>
  <w:style w:type="paragraph" w:customStyle="1" w:styleId="352">
    <w:name w:val="标题 一层"/>
    <w:next w:val="38"/>
    <w:qFormat/>
    <w:uiPriority w:val="0"/>
    <w:pPr>
      <w:spacing w:line="560" w:lineRule="exact"/>
      <w:ind w:firstLine="200" w:firstLineChars="200"/>
      <w:jc w:val="center"/>
    </w:pPr>
    <w:rPr>
      <w:rFonts w:ascii="黑体" w:hAnsi="Times New Roman" w:eastAsia="黑体" w:cs="黑体"/>
      <w:b/>
      <w:bCs/>
      <w:kern w:val="2"/>
      <w:sz w:val="32"/>
      <w:szCs w:val="32"/>
      <w:lang w:val="en-US" w:eastAsia="zh-CN" w:bidi="ar-SA"/>
    </w:rPr>
  </w:style>
  <w:style w:type="paragraph" w:customStyle="1" w:styleId="353">
    <w:name w:val="标题 二层"/>
    <w:next w:val="323"/>
    <w:qFormat/>
    <w:uiPriority w:val="0"/>
    <w:pPr>
      <w:widowControl w:val="0"/>
      <w:spacing w:line="560" w:lineRule="exact"/>
      <w:ind w:firstLine="200" w:firstLineChars="200"/>
      <w:jc w:val="both"/>
    </w:pPr>
    <w:rPr>
      <w:rFonts w:ascii="Times New Roman" w:hAnsi="Times New Roman" w:eastAsia="仿宋_GB2312" w:cs="Times New Roman"/>
      <w:b/>
      <w:bCs/>
      <w:kern w:val="2"/>
      <w:sz w:val="32"/>
      <w:szCs w:val="32"/>
      <w:lang w:val="en-US" w:eastAsia="zh-CN" w:bidi="ar-SA"/>
    </w:rPr>
  </w:style>
  <w:style w:type="character" w:customStyle="1" w:styleId="354">
    <w:name w:val="Char Char11"/>
    <w:qFormat/>
    <w:locked/>
    <w:uiPriority w:val="0"/>
    <w:rPr>
      <w:rFonts w:eastAsia="方正仿宋_GBK"/>
      <w:kern w:val="2"/>
      <w:sz w:val="32"/>
      <w:szCs w:val="24"/>
      <w:lang w:val="en-US" w:eastAsia="zh-CN" w:bidi="ar-SA"/>
    </w:rPr>
  </w:style>
  <w:style w:type="paragraph" w:customStyle="1" w:styleId="355">
    <w:name w:val="Char1"/>
    <w:basedOn w:val="1"/>
    <w:qFormat/>
    <w:uiPriority w:val="0"/>
    <w:pPr>
      <w:spacing w:line="360" w:lineRule="auto"/>
    </w:pPr>
    <w:rPr>
      <w:rFonts w:ascii="宋体" w:eastAsia="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901"/>
    <customShpInfo spid="_x0000_s4903"/>
    <customShpInfo spid="_x0000_s49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3510</Words>
  <Characters>3612</Characters>
  <Lines>147</Lines>
  <Paragraphs>41</Paragraphs>
  <TotalTime>0</TotalTime>
  <ScaleCrop>false</ScaleCrop>
  <LinksUpToDate>false</LinksUpToDate>
  <CharactersWithSpaces>3614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2021-09-16T09:26:00Z</dcterms:created>
  <dc:creator>User</dc:creator>
  <cp:lastModifiedBy>zyxwz99</cp:lastModifiedBy>
  <cp:lastPrinted>2021-08-06T08:42:00Z</cp:lastPrinted>
  <dcterms:modified xsi:type="dcterms:W3CDTF">2025-05-21T06:09:28Z</dcterms:modified>
  <dc:title>2009年南京市城市规划、建设和管理任务计划</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eyJoZGlkIjoiYjlhZmZlOTIzMzllNTZmZmY2ODZlNDFlNDc2YzM5MTUiLCJ1c2VySWQiOiIxMjE0ODg2OTA4In0=</vt:lpwstr>
  </property>
  <property fmtid="{D5CDD505-2E9C-101B-9397-08002B2CF9AE}" pid="3" name="KSOProductBuildVer">
    <vt:lpwstr>2052-12.1.0.20784</vt:lpwstr>
  </property>
  <property fmtid="{D5CDD505-2E9C-101B-9397-08002B2CF9AE}" pid="4" name="ICV">
    <vt:lpwstr>EB9DB59371A943B186A52C11672490C0_12</vt:lpwstr>
  </property>
</Properties>
</file>