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pStyle w:val="4"/>
        <w:kinsoku w:val="0"/>
        <w:overflowPunct w:val="0"/>
        <w:spacing w:before="0" w:line="300" w:lineRule="auto"/>
        <w:ind w:left="0"/>
        <w:jc w:val="center"/>
        <w:outlineLvl w:val="9"/>
        <w:rPr>
          <w:rFonts w:ascii="Times New Roman" w:hAnsi="Times New Roman" w:eastAsia="方正小标宋_GBK" w:cs="Times New Roman"/>
          <w:spacing w:val="-4"/>
        </w:rPr>
      </w:pPr>
      <w:r>
        <w:rPr>
          <w:rFonts w:hint="eastAsia" w:ascii="Times New Roman" w:hAnsi="Times New Roman" w:eastAsia="方正小标宋_GBK" w:cs="Times New Roman"/>
          <w:spacing w:val="-4"/>
        </w:rPr>
        <w:t>落实健康中国行动推进健康南京建设考核办法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为深入实施健康中国战略，全面落实《中华人民共和国基本医疗卫生与健康促进法》《健康中国行动（</w:t>
      </w:r>
      <w:r>
        <w:rPr>
          <w:rFonts w:eastAsia="方正仿宋_GBK"/>
          <w:sz w:val="32"/>
          <w:szCs w:val="32"/>
        </w:rPr>
        <w:t>2019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2030</w:t>
      </w:r>
      <w:r>
        <w:rPr>
          <w:rFonts w:hint="eastAsia" w:eastAsia="方正仿宋_GBK"/>
          <w:sz w:val="32"/>
          <w:szCs w:val="32"/>
        </w:rPr>
        <w:t>年）》和《“健康南京</w:t>
      </w:r>
      <w:r>
        <w:rPr>
          <w:rFonts w:eastAsia="方正仿宋_GBK"/>
          <w:sz w:val="32"/>
          <w:szCs w:val="32"/>
        </w:rPr>
        <w:t>2030</w:t>
      </w:r>
      <w:r>
        <w:rPr>
          <w:rFonts w:hint="eastAsia" w:eastAsia="方正仿宋_GBK"/>
          <w:sz w:val="32"/>
          <w:szCs w:val="32"/>
        </w:rPr>
        <w:t>”规划纲要》，加快推进健康南京建设，保障健康中国行动在南京有效实施，根据《健康中国行动组织实施和考核方案》《落实健康中国行动推进健康江苏建设考核办法》，结合我市实际，制定本办法。</w:t>
      </w:r>
    </w:p>
    <w:p>
      <w:pPr>
        <w:spacing w:line="300" w:lineRule="auto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一、总体要求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落实健康中国行动推进健康南京建设考核工作坚持目标导向、问题导向和结果导向，遵循“科学严谨、客观公正、突出重点、实事求是、注重实效、奖罚分明”的原则。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考核采用定性定量相结合、以定量为主的方法。已纳入全市高质量发展监测评价考核的相关指标，其结果可直接作为健康南京建设考核依据。</w:t>
      </w:r>
    </w:p>
    <w:p>
      <w:pPr>
        <w:spacing w:line="300" w:lineRule="auto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二、考核主体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考核工作由健康南京建设领导小组统筹领导，健康南京建设领导小组办公室（设在市卫健委，以下简称市健康办）负责会同市有关部门制定考核细则，并具体组织实施。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考核对象为各区及市有关部门。各区结合本地区实际，制定相应考核办法，并细化落实到具体区域和部门。</w:t>
      </w:r>
    </w:p>
    <w:p>
      <w:pPr>
        <w:spacing w:line="300" w:lineRule="auto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三、考核内容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围绕健康南京建设实施方案的总体要求和主要任务，以《“健康南京</w:t>
      </w:r>
      <w:r>
        <w:rPr>
          <w:rFonts w:eastAsia="方正仿宋_GBK"/>
          <w:sz w:val="32"/>
          <w:szCs w:val="32"/>
        </w:rPr>
        <w:t>2030</w:t>
      </w:r>
      <w:r>
        <w:rPr>
          <w:rFonts w:hint="eastAsia" w:eastAsia="方正仿宋_GBK"/>
          <w:sz w:val="32"/>
          <w:szCs w:val="32"/>
        </w:rPr>
        <w:t>”规划纲要》和考核指标框架（见附件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）为重点，包括健康南京建设监测指标（见附件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）、健康南京“十大行动、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个重点专项”进展情况与目标任务完成情况。市健康办依据考核指标和本办法，结合年度重点工作和主要目标要求，明确具体的考核内容、分值权重和评分细则，并认真组织实施，适时调整完善。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市健康办根据各区考核结果，提出优秀名单，报健康南京建设领导小组审定。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各区在组织考核时，可根据本地区实际情况对考核指标进行调整完善。</w:t>
      </w:r>
    </w:p>
    <w:p>
      <w:pPr>
        <w:spacing w:line="300" w:lineRule="auto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四、结果运用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考核结果经健康南京建设领导小组审定后形成白皮书，作为各区党政领导班子和领导干部综合考核评价、干部奖惩使用的重要参考，并纳入领导班子和领导干部任期目标。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考核结果为优秀的区，予以通报表扬。考核结果不合格的区，予以通报批评，并对其党政负责人进行约谈。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发现有弄虚作假行为的，按考核不合格论处，并予以通报批评；发现有违法违规行为的，依法依纪追究相关人员责任。</w:t>
      </w:r>
    </w:p>
    <w:p>
      <w:pPr>
        <w:spacing w:line="300" w:lineRule="auto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五、考核管理</w:t>
      </w:r>
    </w:p>
    <w:p>
      <w:pPr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市健康办以及参与考核的市有关部门应当严格执行工作纪律，坚持原则、实事求是，坚持科学考核，注意方式方法，力戒形式主义、官僚主义，不增加基层负担，确保考核工作客观公正、有序开展。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">
    <w:altName w:val="Calibr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C7FF4"/>
    <w:rsid w:val="117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uiPriority w:val="0"/>
    <w:pPr>
      <w:autoSpaceDE w:val="0"/>
      <w:autoSpaceDN w:val="0"/>
      <w:adjustRightInd w:val="0"/>
      <w:spacing w:before="8"/>
      <w:ind w:left="554"/>
      <w:jc w:val="left"/>
      <w:outlineLvl w:val="2"/>
    </w:pPr>
    <w:rPr>
      <w:rFonts w:ascii="Kai" w:hAnsi="Kai" w:eastAsia="宋体" w:cs="Kai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2021-03-17T09:48:00Z</dcterms:created>
  <dc:creator>Back to Tomorrow</dc:creator>
  <cp:lastModifiedBy>Back to Tomorrow</cp:lastModifiedBy>
  <dcterms:modified xsi:type="dcterms:W3CDTF">2021-03-17T09:49:32Z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CCDAAF54530A4D91B813CB1410BD9082</vt:lpwstr>
  </property>
</Properties>
</file>