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附件4</w:t>
      </w:r>
    </w:p>
    <w:p>
      <w:pPr>
        <w:rPr>
          <w:rFonts w:hint="eastAsia" w:ascii="方正仿宋_GBK" w:hAnsi="黑体" w:eastAsia="方正仿宋_GBK"/>
          <w:sz w:val="18"/>
          <w:szCs w:val="18"/>
        </w:rPr>
      </w:pPr>
    </w:p>
    <w:p>
      <w:pPr>
        <w:widowControl/>
        <w:jc w:val="center"/>
        <w:rPr>
          <w:rFonts w:hint="eastAsia" w:ascii="方正小标宋_GBK" w:hAnsi="黑体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/>
          <w:sz w:val="44"/>
          <w:szCs w:val="44"/>
        </w:rPr>
        <w:t>全市年货运量150万吨大型企业和火电企业货物运输结构监测表</w:t>
      </w:r>
    </w:p>
    <w:bookmarkEnd w:id="0"/>
    <w:p>
      <w:pPr>
        <w:rPr>
          <w:rFonts w:hint="eastAsia" w:eastAsia="方正书宋_GBK"/>
          <w:sz w:val="24"/>
          <w:szCs w:val="24"/>
        </w:rPr>
      </w:pPr>
    </w:p>
    <w:p>
      <w:pPr>
        <w:ind w:firstLine="1680" w:firstLineChars="800"/>
        <w:jc w:val="both"/>
        <w:rPr>
          <w:rFonts w:hint="eastAsia" w:eastAsia="方正书宋_GBK"/>
          <w:sz w:val="21"/>
          <w:szCs w:val="21"/>
          <w:u w:val="single"/>
        </w:rPr>
      </w:pPr>
      <w:r>
        <w:rPr>
          <w:rFonts w:eastAsia="方正书宋_GBK"/>
          <w:sz w:val="21"/>
          <w:szCs w:val="21"/>
        </w:rPr>
        <w:t>填报日期</w:t>
      </w:r>
      <w:r>
        <w:rPr>
          <w:rFonts w:hint="eastAsia" w:eastAsia="方正书宋_GBK"/>
          <w:sz w:val="21"/>
          <w:szCs w:val="21"/>
          <w:u w:val="single"/>
        </w:rPr>
        <w:t xml:space="preserve">               </w:t>
      </w:r>
      <w:r>
        <w:rPr>
          <w:rFonts w:eastAsia="方正书宋_GBK"/>
          <w:sz w:val="21"/>
          <w:szCs w:val="21"/>
        </w:rPr>
        <w:t xml:space="preserve">  </w:t>
      </w:r>
      <w:r>
        <w:rPr>
          <w:rFonts w:hint="eastAsia" w:eastAsia="方正书宋_GBK"/>
          <w:sz w:val="21"/>
          <w:szCs w:val="21"/>
        </w:rPr>
        <w:t xml:space="preserve"> </w:t>
      </w:r>
      <w:r>
        <w:rPr>
          <w:rFonts w:eastAsia="方正书宋_GBK"/>
          <w:sz w:val="21"/>
          <w:szCs w:val="21"/>
        </w:rPr>
        <w:t>填报部门</w:t>
      </w:r>
      <w:r>
        <w:rPr>
          <w:rFonts w:hint="eastAsia" w:eastAsia="方正书宋_GBK"/>
          <w:sz w:val="21"/>
          <w:szCs w:val="21"/>
          <w:u w:val="single"/>
        </w:rPr>
        <w:t xml:space="preserve">                                        </w:t>
      </w:r>
      <w:r>
        <w:rPr>
          <w:rFonts w:eastAsia="方正书宋_GBK"/>
          <w:sz w:val="21"/>
          <w:szCs w:val="21"/>
        </w:rPr>
        <w:t xml:space="preserve"> </w:t>
      </w:r>
      <w:r>
        <w:rPr>
          <w:rFonts w:hint="eastAsia" w:eastAsia="方正书宋_GBK"/>
          <w:sz w:val="21"/>
          <w:szCs w:val="21"/>
        </w:rPr>
        <w:t xml:space="preserve"> </w:t>
      </w:r>
      <w:r>
        <w:rPr>
          <w:rFonts w:eastAsia="方正书宋_GBK"/>
          <w:sz w:val="21"/>
          <w:szCs w:val="21"/>
        </w:rPr>
        <w:t xml:space="preserve"> 联</w:t>
      </w:r>
      <w:r>
        <w:rPr>
          <w:rFonts w:hint="eastAsia" w:eastAsia="方正书宋_GBK"/>
          <w:sz w:val="21"/>
          <w:szCs w:val="21"/>
        </w:rPr>
        <w:t xml:space="preserve"> </w:t>
      </w:r>
      <w:r>
        <w:rPr>
          <w:rFonts w:eastAsia="方正书宋_GBK"/>
          <w:sz w:val="21"/>
          <w:szCs w:val="21"/>
        </w:rPr>
        <w:t>系</w:t>
      </w:r>
      <w:r>
        <w:rPr>
          <w:rFonts w:hint="eastAsia" w:eastAsia="方正书宋_GBK"/>
          <w:sz w:val="21"/>
          <w:szCs w:val="21"/>
        </w:rPr>
        <w:t xml:space="preserve"> </w:t>
      </w:r>
      <w:r>
        <w:rPr>
          <w:rFonts w:eastAsia="方正书宋_GBK"/>
          <w:sz w:val="21"/>
          <w:szCs w:val="21"/>
        </w:rPr>
        <w:t>人</w:t>
      </w:r>
      <w:r>
        <w:rPr>
          <w:rFonts w:hint="eastAsia" w:eastAsia="方正书宋_GBK"/>
          <w:sz w:val="21"/>
          <w:szCs w:val="21"/>
          <w:u w:val="single"/>
        </w:rPr>
        <w:t xml:space="preserve">                     </w:t>
      </w:r>
      <w:r>
        <w:rPr>
          <w:rFonts w:eastAsia="方正书宋_GBK"/>
          <w:sz w:val="21"/>
          <w:szCs w:val="21"/>
        </w:rPr>
        <w:t xml:space="preserve"> </w:t>
      </w:r>
      <w:r>
        <w:rPr>
          <w:rFonts w:hint="eastAsia" w:eastAsia="方正书宋_GBK"/>
          <w:sz w:val="21"/>
          <w:szCs w:val="21"/>
        </w:rPr>
        <w:t xml:space="preserve"> </w:t>
      </w:r>
      <w:r>
        <w:rPr>
          <w:rFonts w:eastAsia="方正书宋_GBK"/>
          <w:sz w:val="21"/>
          <w:szCs w:val="21"/>
        </w:rPr>
        <w:t xml:space="preserve"> 联系电话</w:t>
      </w:r>
      <w:r>
        <w:rPr>
          <w:rFonts w:hint="eastAsia" w:eastAsia="方正书宋_GBK"/>
          <w:sz w:val="21"/>
          <w:szCs w:val="21"/>
          <w:u w:val="single"/>
        </w:rPr>
        <w:t xml:space="preserve">                     </w:t>
      </w:r>
    </w:p>
    <w:tbl>
      <w:tblPr>
        <w:tblStyle w:val="3"/>
        <w:tblW w:w="14823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1230"/>
        <w:gridCol w:w="1177"/>
        <w:gridCol w:w="922"/>
        <w:gridCol w:w="1485"/>
        <w:gridCol w:w="783"/>
        <w:gridCol w:w="783"/>
        <w:gridCol w:w="783"/>
        <w:gridCol w:w="783"/>
        <w:gridCol w:w="931"/>
        <w:gridCol w:w="723"/>
        <w:gridCol w:w="726"/>
        <w:gridCol w:w="723"/>
        <w:gridCol w:w="72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048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</w:rPr>
              <w:t>重点企业名称</w:t>
            </w:r>
          </w:p>
        </w:tc>
        <w:tc>
          <w:tcPr>
            <w:tcW w:w="123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</w:rPr>
              <w:t>所在区</w:t>
            </w:r>
          </w:p>
        </w:tc>
        <w:tc>
          <w:tcPr>
            <w:tcW w:w="1177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</w:rPr>
              <w:t>企业类型</w:t>
            </w:r>
          </w:p>
        </w:tc>
        <w:tc>
          <w:tcPr>
            <w:tcW w:w="922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</w:rPr>
              <w:t>是否具备铁路专用线</w:t>
            </w:r>
          </w:p>
        </w:tc>
        <w:tc>
          <w:tcPr>
            <w:tcW w:w="1485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</w:rPr>
              <w:t>原材料种类</w:t>
            </w:r>
          </w:p>
          <w:p>
            <w:pPr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</w:rPr>
              <w:t>（包括煤炭）</w:t>
            </w:r>
          </w:p>
        </w:tc>
        <w:tc>
          <w:tcPr>
            <w:tcW w:w="3132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</w:rPr>
              <w:t>年货运量（万吨）</w:t>
            </w:r>
          </w:p>
        </w:tc>
        <w:tc>
          <w:tcPr>
            <w:tcW w:w="931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</w:rPr>
              <w:t>产成品</w:t>
            </w:r>
          </w:p>
        </w:tc>
        <w:tc>
          <w:tcPr>
            <w:tcW w:w="2898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</w:rPr>
              <w:t>年货运量（万吨）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04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17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92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</w:rPr>
              <w:t>铁路</w:t>
            </w: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</w:rPr>
              <w:t>水路</w:t>
            </w: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</w:rPr>
              <w:t>公路</w:t>
            </w: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</w:rPr>
              <w:t>管道</w:t>
            </w: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</w:rPr>
              <w:t>铁路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</w:rPr>
              <w:t>水路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</w:rPr>
              <w:t>公路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</w:rPr>
              <w:t>管道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8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南钢集团有限公司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钢铁企业</w:t>
            </w:r>
          </w:p>
        </w:tc>
        <w:tc>
          <w:tcPr>
            <w:tcW w:w="922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8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江苏南热发电有限责任公司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火电企业</w:t>
            </w:r>
          </w:p>
        </w:tc>
        <w:tc>
          <w:tcPr>
            <w:tcW w:w="922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8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南京化学工业园热电有限公司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火电企业</w:t>
            </w:r>
          </w:p>
        </w:tc>
        <w:tc>
          <w:tcPr>
            <w:tcW w:w="922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8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中石化扬子分公司自备电厂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火电企业</w:t>
            </w:r>
          </w:p>
        </w:tc>
        <w:tc>
          <w:tcPr>
            <w:tcW w:w="922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8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诚志清洁能源股份有限公司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化工企业</w:t>
            </w:r>
          </w:p>
        </w:tc>
        <w:tc>
          <w:tcPr>
            <w:tcW w:w="922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8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中石化南化公司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化工企业</w:t>
            </w:r>
          </w:p>
        </w:tc>
        <w:tc>
          <w:tcPr>
            <w:tcW w:w="922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8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华能南京电厂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火电企业</w:t>
            </w:r>
          </w:p>
        </w:tc>
        <w:tc>
          <w:tcPr>
            <w:tcW w:w="922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8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中石化扬子石油化工有限公司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化工企业</w:t>
            </w:r>
          </w:p>
        </w:tc>
        <w:tc>
          <w:tcPr>
            <w:tcW w:w="922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8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华能金陵发电有限公司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栖霞区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火电企业</w:t>
            </w:r>
          </w:p>
        </w:tc>
        <w:tc>
          <w:tcPr>
            <w:tcW w:w="922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8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大唐南京发电厂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栖霞区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火电企业</w:t>
            </w:r>
          </w:p>
        </w:tc>
        <w:tc>
          <w:tcPr>
            <w:tcW w:w="922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8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中石化金陵分公司自备电厂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栖霞区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火电企业</w:t>
            </w:r>
          </w:p>
        </w:tc>
        <w:tc>
          <w:tcPr>
            <w:tcW w:w="922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8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金陵石化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栖霞区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化工企业</w:t>
            </w:r>
          </w:p>
        </w:tc>
        <w:tc>
          <w:tcPr>
            <w:tcW w:w="922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8" w:type="dxa"/>
            <w:shd w:val="clear" w:color="auto" w:fill="auto"/>
            <w:noWrap w:val="0"/>
            <w:vAlign w:val="center"/>
          </w:tcPr>
          <w:p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江苏金翔石油化工有限公司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栖霞区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化工企业</w:t>
            </w:r>
          </w:p>
        </w:tc>
        <w:tc>
          <w:tcPr>
            <w:tcW w:w="922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8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南京梅山（集团）有限公司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雨花台区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钢铁企业</w:t>
            </w:r>
          </w:p>
        </w:tc>
        <w:tc>
          <w:tcPr>
            <w:tcW w:w="922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8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南京华润热电有限公司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雨花台区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火电企业</w:t>
            </w:r>
          </w:p>
        </w:tc>
        <w:tc>
          <w:tcPr>
            <w:tcW w:w="922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8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w w:val="90"/>
                <w:sz w:val="21"/>
                <w:szCs w:val="21"/>
              </w:rPr>
            </w:pPr>
            <w:r>
              <w:rPr>
                <w:rFonts w:hint="eastAsia" w:eastAsia="方正书宋_GBK"/>
                <w:w w:val="90"/>
                <w:sz w:val="21"/>
                <w:szCs w:val="21"/>
              </w:rPr>
              <w:t>新增企业（江北新区管委会、各区政府和市各有关直属单位更新）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</w:tr>
    </w:tbl>
    <w:p>
      <w:pPr>
        <w:ind w:firstLine="1470" w:firstLineChars="700"/>
        <w:jc w:val="left"/>
        <w:rPr>
          <w:rFonts w:eastAsia="方正书宋_GBK"/>
          <w:sz w:val="21"/>
          <w:szCs w:val="18"/>
        </w:rPr>
      </w:pPr>
      <w:r>
        <w:rPr>
          <w:rFonts w:hint="eastAsia" w:eastAsia="方正书宋_GBK"/>
          <w:sz w:val="21"/>
          <w:szCs w:val="18"/>
        </w:rPr>
        <w:t>备注：1．火电企业不需要填写产成品数据。</w:t>
      </w:r>
    </w:p>
    <w:p>
      <w:pPr>
        <w:ind w:firstLine="2100" w:firstLineChars="1000"/>
        <w:jc w:val="left"/>
        <w:rPr>
          <w:rFonts w:hint="eastAsia" w:eastAsia="方正书宋_GBK"/>
          <w:sz w:val="21"/>
          <w:szCs w:val="18"/>
        </w:rPr>
      </w:pPr>
      <w:r>
        <w:rPr>
          <w:rFonts w:hint="eastAsia" w:eastAsia="方正书宋_GBK"/>
          <w:sz w:val="21"/>
          <w:szCs w:val="18"/>
        </w:rPr>
        <w:t>2．江北新区管委会、各区政府和园区管委会要</w:t>
      </w:r>
      <w:r>
        <w:rPr>
          <w:rFonts w:eastAsia="方正书宋_GBK"/>
          <w:sz w:val="21"/>
          <w:szCs w:val="18"/>
        </w:rPr>
        <w:t>根据辖区</w:t>
      </w:r>
      <w:r>
        <w:rPr>
          <w:rFonts w:hint="eastAsia" w:eastAsia="方正书宋_GBK"/>
          <w:sz w:val="21"/>
          <w:szCs w:val="18"/>
        </w:rPr>
        <w:t>年货运量150万吨的大型企业和火电企业情况</w:t>
      </w:r>
      <w:r>
        <w:rPr>
          <w:rFonts w:eastAsia="方正书宋_GBK"/>
          <w:sz w:val="21"/>
          <w:szCs w:val="18"/>
        </w:rPr>
        <w:t>，实时更新企业名录，并</w:t>
      </w:r>
      <w:r>
        <w:rPr>
          <w:rFonts w:hint="eastAsia" w:eastAsia="方正书宋_GBK"/>
          <w:sz w:val="21"/>
          <w:szCs w:val="18"/>
        </w:rPr>
        <w:t>按照</w:t>
      </w:r>
      <w:r>
        <w:rPr>
          <w:rFonts w:eastAsia="方正书宋_GBK"/>
          <w:sz w:val="21"/>
          <w:szCs w:val="18"/>
        </w:rPr>
        <w:t>要求上报</w:t>
      </w:r>
      <w:r>
        <w:rPr>
          <w:rFonts w:hint="eastAsia" w:eastAsia="方正书宋_GBK"/>
          <w:sz w:val="21"/>
          <w:szCs w:val="18"/>
        </w:rPr>
        <w:t>企业运输结构的监测数据</w:t>
      </w:r>
      <w:r>
        <w:rPr>
          <w:rFonts w:eastAsia="方正书宋_GBK"/>
          <w:sz w:val="21"/>
          <w:szCs w:val="18"/>
        </w:rPr>
        <w:t>。</w:t>
      </w:r>
    </w:p>
    <w:p>
      <w:pPr>
        <w:ind w:firstLine="2100" w:firstLineChars="1000"/>
        <w:jc w:val="left"/>
        <w:rPr>
          <w:rFonts w:ascii="Times New Roman" w:hAnsi="Times New Roman" w:eastAsia="方正仿宋简体" w:cs="Times New Roman"/>
          <w:kern w:val="2"/>
          <w:sz w:val="30"/>
          <w:lang w:val="en-US" w:eastAsia="zh-CN" w:bidi="ar-SA"/>
        </w:rPr>
      </w:pPr>
      <w:r>
        <w:rPr>
          <w:rFonts w:eastAsia="方正书宋_GBK"/>
          <w:sz w:val="21"/>
          <w:szCs w:val="18"/>
        </w:rPr>
        <w:t>3</w:t>
      </w:r>
      <w:r>
        <w:rPr>
          <w:rFonts w:hint="eastAsia" w:eastAsia="方正书宋_GBK"/>
          <w:sz w:val="21"/>
          <w:szCs w:val="18"/>
        </w:rPr>
        <w:t>．</w:t>
      </w:r>
      <w:r>
        <w:rPr>
          <w:rFonts w:eastAsia="方正书宋_GBK"/>
          <w:sz w:val="21"/>
          <w:szCs w:val="18"/>
        </w:rPr>
        <w:t>每</w:t>
      </w:r>
      <w:r>
        <w:rPr>
          <w:rFonts w:eastAsia="方正书宋_GBK"/>
          <w:sz w:val="21"/>
          <w:szCs w:val="18"/>
        </w:rPr>
        <w:fldChar w:fldCharType="begin"/>
      </w:r>
      <w:r>
        <w:rPr>
          <w:rFonts w:eastAsia="方正书宋_GBK"/>
          <w:sz w:val="21"/>
          <w:szCs w:val="18"/>
        </w:rPr>
        <w:instrText xml:space="preserve"> HYPERLINK "mailto:</w:instrText>
      </w:r>
      <w:r>
        <w:rPr>
          <w:rFonts w:hint="eastAsia" w:eastAsia="方正书宋_GBK"/>
          <w:sz w:val="21"/>
          <w:szCs w:val="18"/>
        </w:rPr>
        <w:instrText xml:space="preserve">季度</w:instrText>
      </w:r>
      <w:r>
        <w:rPr>
          <w:rFonts w:eastAsia="方正书宋_GBK"/>
          <w:sz w:val="21"/>
          <w:szCs w:val="18"/>
        </w:rPr>
        <w:instrText xml:space="preserve">结束后</w:instrText>
      </w:r>
      <w:r>
        <w:rPr>
          <w:rFonts w:hint="eastAsia" w:eastAsia="方正书宋_GBK"/>
          <w:sz w:val="21"/>
          <w:szCs w:val="18"/>
        </w:rPr>
        <w:instrText xml:space="preserve">5个工作日内报送至ysjgtzgz@163.com</w:instrText>
      </w:r>
      <w:r>
        <w:rPr>
          <w:rFonts w:eastAsia="方正书宋_GBK"/>
          <w:sz w:val="21"/>
          <w:szCs w:val="18"/>
        </w:rPr>
        <w:instrText xml:space="preserve">" </w:instrText>
      </w:r>
      <w:r>
        <w:rPr>
          <w:rFonts w:eastAsia="方正书宋_GBK"/>
          <w:sz w:val="21"/>
          <w:szCs w:val="18"/>
        </w:rPr>
        <w:fldChar w:fldCharType="separate"/>
      </w:r>
      <w:r>
        <w:rPr>
          <w:rFonts w:hint="eastAsia" w:eastAsia="方正书宋_GBK"/>
          <w:sz w:val="21"/>
          <w:szCs w:val="18"/>
        </w:rPr>
        <w:t>季度</w:t>
      </w:r>
      <w:r>
        <w:rPr>
          <w:rFonts w:eastAsia="方正书宋_GBK"/>
          <w:sz w:val="21"/>
          <w:szCs w:val="18"/>
        </w:rPr>
        <w:t>结束后</w:t>
      </w:r>
      <w:r>
        <w:rPr>
          <w:rFonts w:hint="eastAsia" w:eastAsia="方正书宋_GBK"/>
          <w:sz w:val="21"/>
          <w:szCs w:val="18"/>
        </w:rPr>
        <w:t>5个工作日内报送至ysjgtzgz@163.com</w:t>
      </w:r>
      <w:r>
        <w:rPr>
          <w:rFonts w:eastAsia="方正书宋_GBK"/>
          <w:sz w:val="21"/>
          <w:szCs w:val="18"/>
        </w:rPr>
        <w:fldChar w:fldCharType="end"/>
      </w:r>
      <w:r>
        <w:rPr>
          <w:rFonts w:hint="eastAsia" w:eastAsia="方正书宋_GBK"/>
          <w:sz w:val="21"/>
          <w:szCs w:val="18"/>
        </w:rPr>
        <w:t>。</w:t>
      </w:r>
    </w:p>
    <w:sectPr>
      <w:footerReference r:id="rId3" w:type="default"/>
      <w:pgSz w:w="20863" w:h="14740" w:orient="landscape"/>
      <w:pgMar w:top="1803" w:right="1440" w:bottom="180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 PAGE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27</w:t>
    </w:r>
    <w:r>
      <w:rPr>
        <w:rStyle w:val="5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456BF"/>
    <w:rsid w:val="0E24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2019-08-08T09:00:00Z</dcterms:created>
  <dc:creator>Back to Tomorrow</dc:creator>
  <cp:lastModifiedBy>Back to Tomorrow</cp:lastModifiedBy>
  <dcterms:modified xsi:type="dcterms:W3CDTF">2019-08-08T09:05:50Z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