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CC0409">
      <w:pPr>
        <w:pStyle w:val="5"/>
        <w:spacing w:line="420" w:lineRule="atLeast"/>
        <w:rPr>
          <w:rStyle w:val="8"/>
          <w:rFonts w:ascii="方正黑体_GBK" w:eastAsia="方正黑体_GBK"/>
          <w:b w:val="0"/>
          <w:sz w:val="32"/>
          <w:szCs w:val="32"/>
        </w:rPr>
      </w:pPr>
      <w:r>
        <w:rPr>
          <w:rStyle w:val="8"/>
          <w:rFonts w:hint="eastAsia" w:ascii="方正黑体_GBK" w:hAnsi="黑体" w:eastAsia="方正黑体_GBK"/>
          <w:b w:val="0"/>
          <w:sz w:val="32"/>
          <w:szCs w:val="32"/>
        </w:rPr>
        <w:t>附件</w:t>
      </w:r>
      <w:r>
        <w:rPr>
          <w:rStyle w:val="8"/>
          <w:rFonts w:hint="eastAsia" w:ascii="方正黑体_GBK" w:eastAsia="方正黑体_GBK"/>
          <w:b w:val="0"/>
          <w:sz w:val="32"/>
          <w:szCs w:val="32"/>
        </w:rPr>
        <w:fldChar w:fldCharType="begin"/>
      </w:r>
      <w:r>
        <w:rPr>
          <w:rStyle w:val="8"/>
          <w:rFonts w:hint="eastAsia" w:ascii="方正黑体_GBK" w:eastAsia="方正黑体_GBK"/>
          <w:b w:val="0"/>
          <w:sz w:val="32"/>
          <w:szCs w:val="32"/>
        </w:rPr>
        <w:fldChar w:fldCharType="begin"/>
      </w:r>
      <w:r>
        <w:rPr>
          <w:rStyle w:val="8"/>
          <w:rFonts w:hint="eastAsia" w:ascii="方正黑体_GBK" w:eastAsia="方正黑体_GBK"/>
          <w:b w:val="0"/>
          <w:sz w:val="32"/>
          <w:szCs w:val="32"/>
        </w:rPr>
        <w:fldChar w:fldCharType="end"/>
      </w:r>
      <w:r>
        <w:rPr>
          <w:rStyle w:val="8"/>
          <w:rFonts w:hint="eastAsia" w:ascii="方正黑体_GBK" w:eastAsia="方正黑体_GBK"/>
          <w:b w:val="0"/>
          <w:sz w:val="32"/>
          <w:szCs w:val="32"/>
        </w:rPr>
        <w:fldChar w:fldCharType="end"/>
      </w:r>
    </w:p>
    <w:p w14:paraId="5F9E037F">
      <w:pPr>
        <w:pStyle w:val="5"/>
        <w:spacing w:line="300" w:lineRule="auto"/>
        <w:ind w:firstLine="880" w:firstLineChars="200"/>
        <w:jc w:val="center"/>
        <w:rPr>
          <w:rFonts w:ascii="方正小标宋_GBK" w:hAnsi="Times New Roman" w:eastAsia="方正小标宋_GBK"/>
          <w:b/>
          <w:sz w:val="44"/>
          <w:szCs w:val="44"/>
        </w:rPr>
      </w:pPr>
      <w:bookmarkStart w:id="0" w:name="_Hlk12003502"/>
      <w:r>
        <w:rPr>
          <w:rStyle w:val="8"/>
          <w:rFonts w:hint="eastAsia" w:ascii="方正小标宋_GBK" w:eastAsia="方正小标宋_GBK"/>
          <w:b w:val="0"/>
          <w:sz w:val="44"/>
          <w:szCs w:val="44"/>
        </w:rPr>
        <w:t>南京市建筑物配建停车设施设置标准与准则</w:t>
      </w:r>
      <w:bookmarkStart w:id="1" w:name="_Hlk12003497"/>
      <w:r>
        <w:rPr>
          <w:rStyle w:val="8"/>
          <w:rFonts w:hint="eastAsia" w:ascii="方正小标宋_GBK" w:eastAsia="方正小标宋_GBK"/>
          <w:b w:val="0"/>
          <w:sz w:val="44"/>
          <w:szCs w:val="44"/>
        </w:rPr>
        <w:t>（2019年修订）</w:t>
      </w:r>
      <w:bookmarkEnd w:id="0"/>
      <w:bookmarkEnd w:id="1"/>
    </w:p>
    <w:p w14:paraId="5B59F81B">
      <w:pPr>
        <w:pStyle w:val="5"/>
        <w:adjustRightInd w:val="0"/>
        <w:snapToGrid w:val="0"/>
        <w:spacing w:line="300" w:lineRule="auto"/>
        <w:ind w:firstLine="640" w:firstLineChars="200"/>
        <w:jc w:val="both"/>
        <w:rPr>
          <w:rFonts w:ascii="Times New Roman" w:hAnsi="Times New Roman" w:eastAsia="方正仿宋_GBK"/>
          <w:b/>
          <w:sz w:val="32"/>
          <w:szCs w:val="32"/>
        </w:rPr>
      </w:pPr>
    </w:p>
    <w:p w14:paraId="633381F5">
      <w:pPr>
        <w:pStyle w:val="5"/>
        <w:adjustRightInd w:val="0"/>
        <w:snapToGrid w:val="0"/>
        <w:spacing w:line="300" w:lineRule="auto"/>
        <w:ind w:firstLine="640" w:firstLineChars="200"/>
        <w:jc w:val="both"/>
        <w:rPr>
          <w:rFonts w:ascii="Times New Roman" w:hAnsi="Times New Roman" w:eastAsia="方正仿宋_GBK"/>
          <w:b/>
          <w:sz w:val="32"/>
          <w:szCs w:val="32"/>
        </w:rPr>
      </w:pPr>
      <w:r>
        <w:rPr>
          <w:rFonts w:ascii="Times New Roman" w:hAnsi="Times New Roman" w:eastAsia="方正仿宋_GBK"/>
          <w:b/>
          <w:sz w:val="32"/>
          <w:szCs w:val="32"/>
        </w:rPr>
        <w:t>第一条　</w:t>
      </w:r>
      <w:r>
        <w:rPr>
          <w:rFonts w:ascii="Times New Roman" w:hAnsi="Times New Roman" w:eastAsia="方正仿宋_GBK"/>
          <w:sz w:val="32"/>
          <w:szCs w:val="32"/>
        </w:rPr>
        <w:t>为加强我市建筑物配建停车设施的规划管理，改善城市静态交通环境，根据《中华人民共和国城乡规划法》《南京市道路交通安全管理条例》等有关法律、法规，结合本市实际，制定《</w:t>
      </w:r>
      <w:r>
        <w:rPr>
          <w:rFonts w:ascii="Times New Roman" w:hAnsi="Times New Roman" w:eastAsia="方正仿宋_GBK"/>
          <w:bCs/>
          <w:sz w:val="32"/>
          <w:szCs w:val="32"/>
        </w:rPr>
        <w:t>南京市建筑物配建停车设施设置标准与准则》（以下简称</w:t>
      </w:r>
      <w:r>
        <w:rPr>
          <w:rFonts w:ascii="Times New Roman" w:hAnsi="Times New Roman" w:eastAsia="方正仿宋_GBK"/>
          <w:sz w:val="32"/>
          <w:szCs w:val="32"/>
        </w:rPr>
        <w:t>《标准与准则》</w:t>
      </w:r>
      <w:r>
        <w:rPr>
          <w:rFonts w:hint="eastAsia" w:ascii="Times New Roman" w:hAnsi="Times New Roman" w:eastAsia="方正仿宋_GBK"/>
          <w:sz w:val="32"/>
          <w:szCs w:val="32"/>
        </w:rPr>
        <w:t>）</w:t>
      </w:r>
    </w:p>
    <w:p w14:paraId="137395AB">
      <w:pPr>
        <w:pStyle w:val="5"/>
        <w:spacing w:line="300" w:lineRule="auto"/>
        <w:ind w:firstLine="640" w:firstLineChars="200"/>
        <w:rPr>
          <w:rFonts w:ascii="Times New Roman" w:hAnsi="Times New Roman" w:eastAsia="方正仿宋_GBK"/>
          <w:sz w:val="32"/>
          <w:szCs w:val="32"/>
        </w:rPr>
      </w:pPr>
      <w:r>
        <w:rPr>
          <w:rFonts w:ascii="Times New Roman" w:hAnsi="Times New Roman" w:eastAsia="方正仿宋_GBK"/>
          <w:b/>
          <w:sz w:val="32"/>
          <w:szCs w:val="32"/>
        </w:rPr>
        <w:t>第二条</w:t>
      </w:r>
      <w:r>
        <w:rPr>
          <w:rFonts w:ascii="Times New Roman" w:hAnsi="Times New Roman" w:eastAsia="方正仿宋_GBK"/>
          <w:sz w:val="32"/>
          <w:szCs w:val="32"/>
        </w:rPr>
        <w:t>　本市市域范围内进行建筑物建设的停车设施配建，适用本《标准与准则》。</w:t>
      </w:r>
    </w:p>
    <w:p w14:paraId="697F6FEE">
      <w:pPr>
        <w:pStyle w:val="5"/>
        <w:spacing w:line="300" w:lineRule="auto"/>
        <w:ind w:firstLine="640" w:firstLineChars="200"/>
        <w:rPr>
          <w:rFonts w:ascii="Times New Roman" w:hAnsi="Times New Roman" w:eastAsia="方正仿宋_GBK"/>
          <w:sz w:val="32"/>
          <w:szCs w:val="32"/>
        </w:rPr>
      </w:pPr>
      <w:r>
        <w:rPr>
          <w:rFonts w:ascii="Times New Roman" w:hAnsi="Times New Roman" w:eastAsia="方正仿宋_GBK"/>
          <w:sz w:val="32"/>
          <w:szCs w:val="32"/>
        </w:rPr>
        <w:t>市域范围内根据用地发展和交通条件，划分为三类停车分区（见附图1）：</w:t>
      </w:r>
    </w:p>
    <w:p w14:paraId="4A6822B1">
      <w:pPr>
        <w:pStyle w:val="5"/>
        <w:spacing w:line="300" w:lineRule="auto"/>
        <w:ind w:firstLine="640" w:firstLineChars="200"/>
        <w:rPr>
          <w:rFonts w:ascii="Times New Roman" w:hAnsi="Times New Roman" w:eastAsia="方正仿宋_GBK"/>
          <w:sz w:val="32"/>
          <w:szCs w:val="32"/>
        </w:rPr>
      </w:pPr>
      <w:r>
        <w:rPr>
          <w:rFonts w:ascii="Times New Roman" w:hAnsi="Times New Roman" w:eastAsia="方正仿宋_GBK"/>
          <w:sz w:val="32"/>
          <w:szCs w:val="32"/>
        </w:rPr>
        <w:t>一类区指以下范围的11个地区：</w:t>
      </w:r>
    </w:p>
    <w:p w14:paraId="204D8B25">
      <w:pPr>
        <w:pStyle w:val="5"/>
        <w:spacing w:line="300" w:lineRule="auto"/>
        <w:ind w:firstLine="640" w:firstLineChars="200"/>
        <w:rPr>
          <w:rFonts w:ascii="Times New Roman" w:hAnsi="Times New Roman" w:eastAsia="方正仿宋_GBK"/>
          <w:sz w:val="32"/>
          <w:szCs w:val="32"/>
        </w:rPr>
      </w:pPr>
      <w:r>
        <w:rPr>
          <w:rFonts w:ascii="Times New Roman" w:hAnsi="Times New Roman" w:eastAsia="方正仿宋_GBK"/>
          <w:sz w:val="32"/>
          <w:szCs w:val="32"/>
        </w:rPr>
        <w:t>①长江—大桥南堡—京沪铁路—红山路—龙蟠路—北安门北街—明城墙—中山门—护城河—大明路—宁铜铁路—中山南路—集合村路—凤台路—秦淮河—长江合围区域、②312国道—团结路—城西路—公园北路—龙华路合围区域、③方州路—招兵河—滁河—八百河合围区域、④沿山大道—定向河路—长江—七里河合围区域、⑤扬子江大道—梦都大街—庐山路—江山大街合围区域、⑥</w:t>
      </w:r>
      <w:bookmarkStart w:id="2" w:name="_Hlk13766644"/>
      <w:r>
        <w:rPr>
          <w:rFonts w:ascii="Times New Roman" w:hAnsi="Times New Roman" w:eastAsia="方正仿宋_GBK"/>
          <w:sz w:val="32"/>
          <w:szCs w:val="32"/>
        </w:rPr>
        <w:t>扬子江大道—江东南路—庐山路—保双街—秦新路合围区域、</w:t>
      </w:r>
      <w:bookmarkEnd w:id="2"/>
      <w:r>
        <w:rPr>
          <w:rFonts w:ascii="Times New Roman" w:hAnsi="Times New Roman" w:eastAsia="方正仿宋_GBK"/>
          <w:sz w:val="32"/>
          <w:szCs w:val="32"/>
        </w:rPr>
        <w:t>⑦绕城公路—宁宣高速—秦淮新河—卡子门大街合围区域、⑧响</w:t>
      </w:r>
      <w:bookmarkStart w:id="3" w:name="_Hlk13767320"/>
      <w:r>
        <w:rPr>
          <w:rFonts w:ascii="Times New Roman" w:hAnsi="Times New Roman" w:eastAsia="方正仿宋_GBK"/>
          <w:sz w:val="32"/>
          <w:szCs w:val="32"/>
        </w:rPr>
        <w:t>水河—机场路—承天大道—绕城公路合围区域</w:t>
      </w:r>
      <w:bookmarkEnd w:id="3"/>
      <w:r>
        <w:rPr>
          <w:rFonts w:ascii="Times New Roman" w:hAnsi="Times New Roman" w:eastAsia="方正仿宋_GBK"/>
          <w:sz w:val="32"/>
          <w:szCs w:val="32"/>
        </w:rPr>
        <w:t>、⑨文靖路—104国道—天印大道—秦淮河合围区域、⑩仙林大道—学典路—文苑路—文澜路合围区域、</w:t>
      </w:r>
      <w:r>
        <w:rPr>
          <w:rFonts w:ascii="Times New Roman" w:hAnsi="Cambria Math" w:eastAsia="方正仿宋_GBK"/>
          <w:sz w:val="32"/>
          <w:szCs w:val="32"/>
        </w:rPr>
        <w:t>⑪</w:t>
      </w:r>
      <w:r>
        <w:rPr>
          <w:rFonts w:ascii="Times New Roman" w:hAnsi="Times New Roman" w:eastAsia="方正仿宋_GBK"/>
          <w:sz w:val="32"/>
          <w:szCs w:val="32"/>
        </w:rPr>
        <w:t>仙林大道—天佑路—广志路—守敬路合围区域；</w:t>
      </w:r>
    </w:p>
    <w:p w14:paraId="2B8BC1FF">
      <w:pPr>
        <w:pStyle w:val="5"/>
        <w:spacing w:line="300" w:lineRule="auto"/>
        <w:ind w:firstLine="640" w:firstLineChars="200"/>
        <w:rPr>
          <w:rFonts w:ascii="Times New Roman" w:hAnsi="Times New Roman" w:eastAsia="方正仿宋_GBK"/>
          <w:sz w:val="32"/>
          <w:szCs w:val="32"/>
        </w:rPr>
      </w:pPr>
      <w:r>
        <w:rPr>
          <w:rFonts w:ascii="Times New Roman" w:hAnsi="Times New Roman" w:eastAsia="方正仿宋_GBK"/>
          <w:sz w:val="32"/>
          <w:szCs w:val="32"/>
        </w:rPr>
        <w:t>二类区指以下范围内除一类区以外的其他地区：</w:t>
      </w:r>
    </w:p>
    <w:p w14:paraId="29D96857">
      <w:pPr>
        <w:pStyle w:val="5"/>
        <w:spacing w:line="300" w:lineRule="auto"/>
        <w:ind w:firstLine="640" w:firstLineChars="200"/>
        <w:rPr>
          <w:rFonts w:ascii="Times New Roman" w:hAnsi="Times New Roman" w:eastAsia="方正仿宋_GBK"/>
          <w:sz w:val="32"/>
          <w:szCs w:val="32"/>
        </w:rPr>
      </w:pPr>
      <w:r>
        <w:rPr>
          <w:rFonts w:ascii="Times New Roman" w:hAnsi="Times New Roman" w:eastAsia="方正仿宋_GBK"/>
          <w:sz w:val="32"/>
          <w:szCs w:val="32"/>
        </w:rPr>
        <w:t>①沪蓉高速—沿山大道—老山—汤盘公路—平顶山路—长江合围区域、②长江—七乡河—京沪铁路—青龙山—绕越高速—宁丹大道—将军山—秦淮新河合围区域；③交通路—南门河—中山路—中山河合围区域；④镇兴路—石臼湖路—湖滨大道—官溪路合围区域。</w:t>
      </w:r>
    </w:p>
    <w:p w14:paraId="2FED0876">
      <w:pPr>
        <w:pStyle w:val="5"/>
        <w:spacing w:line="300" w:lineRule="auto"/>
        <w:ind w:firstLine="640" w:firstLineChars="200"/>
        <w:rPr>
          <w:rFonts w:ascii="Times New Roman" w:hAnsi="Times New Roman" w:eastAsia="方正仿宋_GBK"/>
          <w:sz w:val="32"/>
          <w:szCs w:val="32"/>
          <w:shd w:val="pct15" w:color="auto" w:fill="FFFFFF"/>
        </w:rPr>
      </w:pPr>
      <w:r>
        <w:rPr>
          <w:rFonts w:ascii="Times New Roman" w:hAnsi="Times New Roman" w:eastAsia="方正仿宋_GBK"/>
          <w:sz w:val="32"/>
          <w:szCs w:val="32"/>
        </w:rPr>
        <w:t>三类区：指市域范围内除一类区、二类区以外的其他地区。</w:t>
      </w:r>
    </w:p>
    <w:p w14:paraId="7931F9CC">
      <w:pPr>
        <w:pStyle w:val="5"/>
        <w:spacing w:line="300" w:lineRule="auto"/>
        <w:ind w:firstLine="640" w:firstLineChars="200"/>
        <w:rPr>
          <w:rFonts w:ascii="Times New Roman" w:hAnsi="Times New Roman" w:eastAsia="方正仿宋_GBK"/>
          <w:sz w:val="32"/>
          <w:szCs w:val="32"/>
        </w:rPr>
      </w:pPr>
      <w:r>
        <w:rPr>
          <w:rFonts w:ascii="Times New Roman" w:hAnsi="Times New Roman" w:eastAsia="方正仿宋_GBK"/>
          <w:b/>
          <w:sz w:val="32"/>
          <w:szCs w:val="32"/>
        </w:rPr>
        <w:t>第三条</w:t>
      </w:r>
      <w:r>
        <w:rPr>
          <w:rFonts w:ascii="Times New Roman" w:hAnsi="Times New Roman" w:eastAsia="方正仿宋_GBK"/>
          <w:sz w:val="32"/>
          <w:szCs w:val="32"/>
        </w:rPr>
        <w:t>　南京市规划和自然资源局（以下简称“规划资源局”）是本市停车设施配建规划管理的行政主管部门，负责组织实施本《标准与准则》。</w:t>
      </w:r>
    </w:p>
    <w:p w14:paraId="616CC8A5">
      <w:pPr>
        <w:pStyle w:val="5"/>
        <w:spacing w:line="300" w:lineRule="auto"/>
        <w:ind w:firstLine="640" w:firstLineChars="200"/>
        <w:rPr>
          <w:rFonts w:ascii="Times New Roman" w:hAnsi="Times New Roman" w:eastAsia="方正仿宋_GBK"/>
          <w:sz w:val="32"/>
          <w:szCs w:val="32"/>
        </w:rPr>
      </w:pPr>
      <w:r>
        <w:rPr>
          <w:rFonts w:ascii="Times New Roman" w:hAnsi="Times New Roman" w:eastAsia="方正仿宋_GBK"/>
          <w:b/>
          <w:sz w:val="32"/>
          <w:szCs w:val="32"/>
        </w:rPr>
        <w:t>第四条</w:t>
      </w:r>
      <w:r>
        <w:rPr>
          <w:rFonts w:ascii="Times New Roman" w:hAnsi="Times New Roman" w:eastAsia="方正仿宋_GBK"/>
          <w:sz w:val="32"/>
          <w:szCs w:val="32"/>
        </w:rPr>
        <w:t>　本《标准与准则》所称的建筑物配建停车设施是指建筑物建设时需配套建设的提供本建筑业主使用的车辆停放，以及以本建筑为目的地的外来车辆停放的设施与场所；所指的车辆包括各类机动车与非机动车。</w:t>
      </w:r>
    </w:p>
    <w:p w14:paraId="60F634D1">
      <w:pPr>
        <w:pStyle w:val="5"/>
        <w:spacing w:line="300" w:lineRule="auto"/>
        <w:ind w:firstLine="640" w:firstLineChars="200"/>
        <w:rPr>
          <w:rFonts w:ascii="Times New Roman" w:hAnsi="Times New Roman" w:eastAsia="方正仿宋_GBK"/>
          <w:sz w:val="32"/>
          <w:szCs w:val="32"/>
        </w:rPr>
      </w:pPr>
      <w:r>
        <w:rPr>
          <w:rFonts w:ascii="Times New Roman" w:hAnsi="Times New Roman" w:eastAsia="方正仿宋_GBK"/>
          <w:b/>
          <w:sz w:val="32"/>
          <w:szCs w:val="32"/>
        </w:rPr>
        <w:t>第五条</w:t>
      </w:r>
      <w:r>
        <w:rPr>
          <w:rFonts w:ascii="Times New Roman" w:hAnsi="Times New Roman" w:eastAsia="方正仿宋_GBK"/>
          <w:sz w:val="32"/>
          <w:szCs w:val="32"/>
        </w:rPr>
        <w:t>　建筑物应按照节地、节能、安全、高效的原则配建停车设施，停车设施应与主体工程同步设计、同步建设、同步投入使用。</w:t>
      </w:r>
    </w:p>
    <w:p w14:paraId="54A5F794">
      <w:pPr>
        <w:pStyle w:val="5"/>
        <w:spacing w:line="300" w:lineRule="auto"/>
        <w:ind w:firstLine="640" w:firstLineChars="200"/>
        <w:jc w:val="both"/>
        <w:rPr>
          <w:rFonts w:ascii="Times New Roman" w:hAnsi="Times New Roman" w:eastAsia="方正仿宋_GBK"/>
          <w:sz w:val="32"/>
          <w:szCs w:val="32"/>
        </w:rPr>
      </w:pPr>
      <w:r>
        <w:rPr>
          <w:rFonts w:ascii="Times New Roman" w:hAnsi="Times New Roman" w:eastAsia="方正仿宋_GBK"/>
          <w:b/>
          <w:sz w:val="32"/>
          <w:szCs w:val="32"/>
        </w:rPr>
        <w:t>第六条</w:t>
      </w:r>
      <w:r>
        <w:rPr>
          <w:rFonts w:ascii="Times New Roman" w:hAnsi="Times New Roman" w:eastAsia="方正仿宋_GBK"/>
          <w:sz w:val="32"/>
          <w:szCs w:val="32"/>
        </w:rPr>
        <w:t>　建筑物配建停车设施原则上应设置在其用地范围内；鼓励相邻地块建设项目（不含住宅、酒店式公寓）在统一申请、统一设计、统一建设、统一使用的条件下，集中统一设置停车设施；非相邻地块的建设项目（不含住宅、酒店式公寓）在相邻道路上邻近距离不超过100米，且其中一处用地条件受限的两宗以上的建设项目，在符合上述条件的情况下，经过批准后可集中统一设置停车设施。</w:t>
      </w:r>
    </w:p>
    <w:p w14:paraId="0A4F0305">
      <w:pPr>
        <w:pStyle w:val="5"/>
        <w:spacing w:line="300" w:lineRule="auto"/>
        <w:ind w:firstLine="640" w:firstLineChars="200"/>
        <w:jc w:val="both"/>
        <w:rPr>
          <w:rFonts w:ascii="Times New Roman" w:hAnsi="Times New Roman" w:eastAsia="方正仿宋_GBK"/>
          <w:sz w:val="32"/>
          <w:szCs w:val="32"/>
        </w:rPr>
      </w:pPr>
      <w:r>
        <w:rPr>
          <w:rFonts w:ascii="Times New Roman" w:hAnsi="Times New Roman" w:eastAsia="方正仿宋_GBK"/>
          <w:b/>
          <w:sz w:val="32"/>
          <w:szCs w:val="32"/>
        </w:rPr>
        <w:t>第七条</w:t>
      </w:r>
      <w:r>
        <w:rPr>
          <w:rFonts w:ascii="Times New Roman" w:hAnsi="Times New Roman" w:eastAsia="方正仿宋_GBK"/>
          <w:sz w:val="32"/>
          <w:szCs w:val="32"/>
        </w:rPr>
        <w:t>　建设建筑物应按附表规定的标准分别配建机动车泊位、非机动车泊位以及特殊停车泊位（包括出租车、装卸车、大巴车、救护车、无障碍车位）。</w:t>
      </w:r>
    </w:p>
    <w:p w14:paraId="7D79EEDB">
      <w:pPr>
        <w:pStyle w:val="5"/>
        <w:spacing w:line="300" w:lineRule="auto"/>
        <w:ind w:firstLine="640" w:firstLineChars="200"/>
        <w:jc w:val="both"/>
        <w:rPr>
          <w:rFonts w:ascii="Times New Roman" w:hAnsi="Times New Roman" w:eastAsia="方正仿宋_GBK"/>
          <w:sz w:val="32"/>
          <w:szCs w:val="32"/>
        </w:rPr>
      </w:pPr>
      <w:r>
        <w:rPr>
          <w:rFonts w:ascii="Times New Roman" w:hAnsi="Times New Roman" w:eastAsia="方正仿宋_GBK"/>
          <w:sz w:val="32"/>
          <w:szCs w:val="32"/>
        </w:rPr>
        <w:t>对已有建筑的改建和扩建，其改、扩建部分应按附表规定设置各类停车位；原建筑物配建不足、新增建筑面积超过3000平米且超过原建筑规模25%的，应同时补充配建不低于原不足差额数的20%。</w:t>
      </w:r>
    </w:p>
    <w:p w14:paraId="1D96A367">
      <w:pPr>
        <w:pStyle w:val="5"/>
        <w:spacing w:line="300" w:lineRule="auto"/>
        <w:ind w:firstLine="640" w:firstLineChars="200"/>
        <w:jc w:val="both"/>
        <w:rPr>
          <w:rFonts w:ascii="Times New Roman" w:hAnsi="Times New Roman" w:eastAsia="方正仿宋_GBK"/>
          <w:sz w:val="32"/>
          <w:szCs w:val="32"/>
        </w:rPr>
      </w:pPr>
      <w:r>
        <w:rPr>
          <w:rFonts w:ascii="Times New Roman" w:hAnsi="Times New Roman" w:eastAsia="方正仿宋_GBK"/>
          <w:sz w:val="32"/>
          <w:szCs w:val="32"/>
        </w:rPr>
        <w:t>临时性建筑物应按附表规定设置各类临时性停车位，临时性停车位一般应在地面设置。其中，非对外开放的临时性建筑物按照指标配建确有困难的，在合理解决临时停车需求后，可适当减少泊位配建数量。</w:t>
      </w:r>
    </w:p>
    <w:p w14:paraId="4DE28608">
      <w:pPr>
        <w:widowControl/>
        <w:spacing w:line="300" w:lineRule="auto"/>
        <w:ind w:firstLine="640" w:firstLineChars="200"/>
        <w:jc w:val="left"/>
        <w:rPr>
          <w:rFonts w:eastAsia="方正仿宋_GBK"/>
          <w:kern w:val="0"/>
          <w:sz w:val="32"/>
          <w:szCs w:val="32"/>
        </w:rPr>
      </w:pPr>
      <w:r>
        <w:rPr>
          <w:rFonts w:eastAsia="方正仿宋_GBK"/>
          <w:b/>
          <w:kern w:val="0"/>
          <w:sz w:val="32"/>
          <w:szCs w:val="32"/>
        </w:rPr>
        <w:t>第八条</w:t>
      </w:r>
      <w:r>
        <w:rPr>
          <w:rFonts w:eastAsia="方正仿宋_GBK"/>
          <w:kern w:val="0"/>
          <w:sz w:val="32"/>
          <w:szCs w:val="32"/>
        </w:rPr>
        <w:t>　特殊类型建筑项目（附表1中用＊表示）达到《建设项目交通影响评价技术标准（CJJ/T141—2010）》中交通影响评价启动阈值时，经规划资源局认可后，可开展交通影响分析确定适宜的配建停车标准，经专家论证，按程序报批后执行。</w:t>
      </w:r>
    </w:p>
    <w:p w14:paraId="0C84B6EC">
      <w:pPr>
        <w:pStyle w:val="5"/>
        <w:spacing w:line="300" w:lineRule="auto"/>
        <w:ind w:firstLine="640" w:firstLineChars="200"/>
        <w:rPr>
          <w:rFonts w:ascii="Times New Roman" w:hAnsi="Times New Roman" w:eastAsia="方正仿宋_GBK"/>
          <w:sz w:val="32"/>
          <w:szCs w:val="32"/>
        </w:rPr>
      </w:pPr>
      <w:r>
        <w:rPr>
          <w:rFonts w:ascii="Times New Roman" w:hAnsi="Times New Roman" w:eastAsia="方正仿宋_GBK"/>
          <w:sz w:val="32"/>
          <w:szCs w:val="32"/>
        </w:rPr>
        <w:t>在涉及历史文化保护、商业步行街等特殊区域</w:t>
      </w:r>
      <w:bookmarkStart w:id="4" w:name="_Hlk13767546"/>
      <w:r>
        <w:rPr>
          <w:rFonts w:ascii="Times New Roman" w:hAnsi="Times New Roman" w:eastAsia="方正仿宋_GBK"/>
          <w:sz w:val="32"/>
          <w:szCs w:val="32"/>
        </w:rPr>
        <w:t>开发的建设项目</w:t>
      </w:r>
      <w:bookmarkEnd w:id="4"/>
      <w:r>
        <w:rPr>
          <w:rFonts w:ascii="Times New Roman" w:hAnsi="Times New Roman" w:eastAsia="方正仿宋_GBK"/>
          <w:sz w:val="32"/>
          <w:szCs w:val="32"/>
        </w:rPr>
        <w:t>，其停车设施配建指标可依据经批准的规划设计方案执行。</w:t>
      </w:r>
    </w:p>
    <w:p w14:paraId="7988D70A">
      <w:pPr>
        <w:pStyle w:val="5"/>
        <w:spacing w:line="300" w:lineRule="auto"/>
        <w:ind w:firstLine="640" w:firstLineChars="200"/>
        <w:jc w:val="both"/>
        <w:rPr>
          <w:rFonts w:ascii="Times New Roman" w:hAnsi="Times New Roman" w:eastAsia="方正仿宋_GBK"/>
          <w:sz w:val="32"/>
          <w:szCs w:val="32"/>
        </w:rPr>
      </w:pPr>
      <w:r>
        <w:rPr>
          <w:rFonts w:ascii="Times New Roman" w:hAnsi="Times New Roman" w:eastAsia="方正仿宋_GBK"/>
          <w:b/>
          <w:sz w:val="32"/>
          <w:szCs w:val="32"/>
        </w:rPr>
        <w:t>第九条</w:t>
      </w:r>
      <w:r>
        <w:rPr>
          <w:rFonts w:ascii="Times New Roman" w:hAnsi="Times New Roman" w:eastAsia="方正仿宋_GBK"/>
          <w:sz w:val="32"/>
          <w:szCs w:val="32"/>
        </w:rPr>
        <w:t>　建筑物配建停车设施可采用地下停车库、停车楼、机械式立体停车库、地面停车场等多种形式，严禁占用规划批准为绿地和道路的部分设置停车泊位。</w:t>
      </w:r>
    </w:p>
    <w:p w14:paraId="1BC6FDC5">
      <w:pPr>
        <w:pStyle w:val="5"/>
        <w:spacing w:line="300" w:lineRule="auto"/>
        <w:ind w:firstLine="640" w:firstLineChars="200"/>
        <w:jc w:val="both"/>
        <w:rPr>
          <w:rFonts w:ascii="Times New Roman" w:hAnsi="Times New Roman" w:eastAsia="方正仿宋_GBK"/>
          <w:bCs/>
          <w:sz w:val="32"/>
          <w:szCs w:val="32"/>
        </w:rPr>
      </w:pPr>
      <w:r>
        <w:rPr>
          <w:rFonts w:ascii="Times New Roman" w:hAnsi="Times New Roman" w:eastAsia="方正仿宋_GBK"/>
          <w:sz w:val="32"/>
          <w:szCs w:val="32"/>
        </w:rPr>
        <w:t>地面停车泊位应集中安排用地，并设置专用停车场和通道，不得在建筑物间任意设置和占用小区出入口通道设置停车位；</w:t>
      </w:r>
      <w:bookmarkStart w:id="5" w:name="_Hlk13760788"/>
      <w:bookmarkStart w:id="6" w:name="_Hlk13767717"/>
      <w:r>
        <w:rPr>
          <w:rFonts w:ascii="Times New Roman" w:hAnsi="Times New Roman" w:eastAsia="方正仿宋_GBK"/>
          <w:bCs/>
          <w:sz w:val="32"/>
          <w:szCs w:val="32"/>
        </w:rPr>
        <w:t>城市集中建设区范围内，商品房类建筑地面停车率（居住区内居民机动车的地面停车位数量（含访客车位）与居住户数的比率）不应超过10%；租赁住房类建筑地面停车率不宜超过10%</w:t>
      </w:r>
      <w:bookmarkEnd w:id="5"/>
      <w:r>
        <w:rPr>
          <w:rFonts w:ascii="Times New Roman" w:hAnsi="Times New Roman" w:eastAsia="方正仿宋_GBK"/>
          <w:bCs/>
          <w:sz w:val="32"/>
          <w:szCs w:val="32"/>
        </w:rPr>
        <w:t>；工业类、仓储类、</w:t>
      </w:r>
      <w:r>
        <w:rPr>
          <w:rFonts w:ascii="Times New Roman" w:hAnsi="Times New Roman" w:eastAsia="方正仿宋_GBK"/>
          <w:sz w:val="32"/>
          <w:szCs w:val="32"/>
        </w:rPr>
        <w:t>创新研发与服务用房类、</w:t>
      </w:r>
      <w:r>
        <w:rPr>
          <w:rFonts w:ascii="Times New Roman" w:hAnsi="Times New Roman" w:eastAsia="方正仿宋_GBK"/>
          <w:bCs/>
          <w:sz w:val="32"/>
          <w:szCs w:val="32"/>
        </w:rPr>
        <w:t>特殊公共建筑（泵房、污水处理厂、变电站等）配套办公管理用房类可根据具体生产条件合理设置机动车地面停车泊位数；其他类建筑机动车地面停车泊位数不得超过配建总泊位数的20%。</w:t>
      </w:r>
      <w:bookmarkEnd w:id="6"/>
    </w:p>
    <w:p w14:paraId="582657AB">
      <w:pPr>
        <w:pStyle w:val="5"/>
        <w:spacing w:line="300" w:lineRule="auto"/>
        <w:ind w:firstLine="640" w:firstLineChars="200"/>
        <w:jc w:val="both"/>
        <w:rPr>
          <w:rFonts w:ascii="Times New Roman" w:hAnsi="Times New Roman" w:eastAsia="方正仿宋_GBK"/>
          <w:sz w:val="32"/>
          <w:szCs w:val="32"/>
        </w:rPr>
      </w:pPr>
      <w:r>
        <w:rPr>
          <w:rFonts w:ascii="Times New Roman" w:hAnsi="Times New Roman" w:eastAsia="方正仿宋_GBK"/>
          <w:sz w:val="32"/>
          <w:szCs w:val="32"/>
        </w:rPr>
        <w:t>在符合规划建筑密度、绿地率、高度控制的前提下，建设项目配套建设的地上立体停车楼，在符合梁底净层高不超过2.4米、无实体围护结构的条件下，可不计入地块容积率，但地上立体停车楼的基底应计入建筑密度，且计入后的总建筑密度应符合规划条件要求。如需停放旅游巴士等大型车辆的立体停车设施，其层高可适当放宽。</w:t>
      </w:r>
    </w:p>
    <w:p w14:paraId="5257A186">
      <w:pPr>
        <w:pStyle w:val="5"/>
        <w:spacing w:line="300" w:lineRule="auto"/>
        <w:ind w:firstLine="640" w:firstLineChars="200"/>
        <w:jc w:val="both"/>
        <w:rPr>
          <w:rFonts w:ascii="Times New Roman" w:hAnsi="Times New Roman" w:eastAsia="方正仿宋_GBK"/>
          <w:sz w:val="32"/>
          <w:szCs w:val="32"/>
        </w:rPr>
      </w:pPr>
      <w:r>
        <w:rPr>
          <w:rFonts w:ascii="Times New Roman" w:hAnsi="Times New Roman" w:eastAsia="方正仿宋_GBK"/>
          <w:b/>
          <w:sz w:val="32"/>
          <w:szCs w:val="32"/>
        </w:rPr>
        <w:t>第十条</w:t>
      </w:r>
      <w:r>
        <w:rPr>
          <w:rFonts w:ascii="Times New Roman" w:hAnsi="Times New Roman" w:eastAsia="方正仿宋_GBK"/>
          <w:sz w:val="32"/>
          <w:szCs w:val="32"/>
        </w:rPr>
        <w:t>　建筑物配建停车设施的设置应以优化交通流线组织为前提。停车设施出入口的设置应符合行车视距的要求，与主体建筑主要人流出入口及用地内部道路之间保持合理顺畅的交通联系。</w:t>
      </w:r>
    </w:p>
    <w:p w14:paraId="199808D1">
      <w:pPr>
        <w:pStyle w:val="5"/>
        <w:spacing w:line="300" w:lineRule="auto"/>
        <w:ind w:firstLine="640" w:firstLineChars="200"/>
        <w:jc w:val="both"/>
        <w:rPr>
          <w:rFonts w:ascii="Times New Roman" w:hAnsi="Times New Roman" w:eastAsia="方正仿宋_GBK"/>
          <w:sz w:val="32"/>
          <w:szCs w:val="32"/>
        </w:rPr>
      </w:pPr>
      <w:r>
        <w:rPr>
          <w:rFonts w:ascii="Times New Roman" w:hAnsi="Times New Roman" w:eastAsia="方正仿宋_GBK"/>
          <w:sz w:val="32"/>
          <w:szCs w:val="32"/>
        </w:rPr>
        <w:t>鼓励相邻地块统一设置出入口。</w:t>
      </w:r>
    </w:p>
    <w:p w14:paraId="5061C58F">
      <w:pPr>
        <w:pStyle w:val="5"/>
        <w:spacing w:line="300" w:lineRule="auto"/>
        <w:ind w:firstLine="640" w:firstLineChars="200"/>
        <w:jc w:val="both"/>
        <w:rPr>
          <w:rFonts w:ascii="Times New Roman" w:hAnsi="Times New Roman" w:eastAsia="方正仿宋_GBK"/>
          <w:sz w:val="32"/>
          <w:szCs w:val="32"/>
        </w:rPr>
      </w:pPr>
      <w:r>
        <w:rPr>
          <w:rFonts w:ascii="Times New Roman" w:hAnsi="Times New Roman" w:eastAsia="方正仿宋_GBK"/>
          <w:b/>
          <w:sz w:val="32"/>
          <w:szCs w:val="32"/>
        </w:rPr>
        <w:t>第十一条</w:t>
      </w:r>
      <w:r>
        <w:rPr>
          <w:rFonts w:ascii="Times New Roman" w:hAnsi="Times New Roman" w:eastAsia="方正仿宋_GBK"/>
          <w:sz w:val="32"/>
          <w:szCs w:val="32"/>
        </w:rPr>
        <w:t>　</w:t>
      </w:r>
      <w:bookmarkStart w:id="7" w:name="_Hlk13756246"/>
      <w:r>
        <w:rPr>
          <w:rFonts w:ascii="Times New Roman" w:hAnsi="Times New Roman" w:eastAsia="方正仿宋_GBK"/>
          <w:sz w:val="32"/>
          <w:szCs w:val="32"/>
        </w:rPr>
        <w:t>平行式、斜列式、垂直式停车泊位的长宽尺寸应当符合《车库建筑设计规范》（JGJ100）等相关规范要求，对于垂直式后退停车，当停车位毗邻墙体或连续分隔物时，垂直式后退小型车停车位宽度不得低于2.4米，长度不得低于5.3米；当停车位相互毗邻时，垂直式后退小型车停车位宽度不得低于2.4米，长度不得低于5.1米。室内机动车停车库在两排柱子中间标划停放三个车位的，其净柱距应不小于7.8米；两排柱子中间标划停放两个车位的，其净柱距应不小于5.4米。</w:t>
      </w:r>
    </w:p>
    <w:bookmarkEnd w:id="7"/>
    <w:p w14:paraId="249F1928">
      <w:pPr>
        <w:pStyle w:val="5"/>
        <w:spacing w:line="300" w:lineRule="auto"/>
        <w:ind w:firstLine="640" w:firstLineChars="200"/>
        <w:jc w:val="both"/>
        <w:rPr>
          <w:rFonts w:ascii="Times New Roman" w:hAnsi="Times New Roman" w:eastAsia="方正仿宋_GBK"/>
          <w:sz w:val="32"/>
          <w:szCs w:val="32"/>
        </w:rPr>
      </w:pPr>
      <w:r>
        <w:rPr>
          <w:rFonts w:ascii="Times New Roman" w:hAnsi="Times New Roman" w:eastAsia="方正仿宋_GBK"/>
          <w:b/>
          <w:sz w:val="32"/>
          <w:szCs w:val="32"/>
        </w:rPr>
        <w:t>第十二条</w:t>
      </w:r>
      <w:r>
        <w:rPr>
          <w:rFonts w:ascii="Times New Roman" w:hAnsi="Times New Roman" w:eastAsia="方正仿宋_GBK"/>
          <w:sz w:val="32"/>
          <w:szCs w:val="32"/>
        </w:rPr>
        <w:t>　建筑物按配建标准设置的停车位需设置机械停车设备的，一类区各类建筑不得超过80%，二类区不得超过70%，三类区不得超过60%。采用二</w:t>
      </w:r>
      <w:bookmarkStart w:id="8" w:name="_Hlk13756741"/>
      <w:r>
        <w:rPr>
          <w:rFonts w:ascii="Times New Roman" w:hAnsi="Times New Roman" w:eastAsia="方正仿宋_GBK"/>
          <w:sz w:val="32"/>
          <w:szCs w:val="32"/>
        </w:rPr>
        <w:t>层升降式或二层升降横移式机械停车设备</w:t>
      </w:r>
      <w:bookmarkEnd w:id="8"/>
      <w:r>
        <w:rPr>
          <w:rFonts w:ascii="Times New Roman" w:hAnsi="Times New Roman" w:eastAsia="方正仿宋_GBK"/>
          <w:sz w:val="32"/>
          <w:szCs w:val="32"/>
        </w:rPr>
        <w:t>的停车设施，其净空高度不得低于3.8米。</w:t>
      </w:r>
    </w:p>
    <w:p w14:paraId="3D2EACB3">
      <w:pPr>
        <w:pStyle w:val="5"/>
        <w:spacing w:line="300" w:lineRule="auto"/>
        <w:ind w:firstLine="640" w:firstLineChars="200"/>
        <w:jc w:val="both"/>
        <w:rPr>
          <w:rFonts w:ascii="Times New Roman" w:hAnsi="Times New Roman" w:eastAsia="方正仿宋_GBK"/>
          <w:sz w:val="32"/>
          <w:szCs w:val="32"/>
        </w:rPr>
      </w:pPr>
      <w:r>
        <w:rPr>
          <w:rFonts w:ascii="Times New Roman" w:hAnsi="Times New Roman" w:eastAsia="方正仿宋_GBK"/>
          <w:sz w:val="32"/>
          <w:szCs w:val="32"/>
        </w:rPr>
        <w:t>剧院、商业、展览馆、体育场等人流、车流集中疏散的大型公共建筑及住宅、公寓（含酒店式公寓）建筑按配建标准设置的停车位应采用自走式。</w:t>
      </w:r>
    </w:p>
    <w:p w14:paraId="735E98B8">
      <w:pPr>
        <w:pStyle w:val="5"/>
        <w:spacing w:line="300" w:lineRule="auto"/>
        <w:ind w:firstLine="640" w:firstLineChars="200"/>
        <w:jc w:val="both"/>
        <w:rPr>
          <w:rFonts w:ascii="Times New Roman" w:hAnsi="Times New Roman" w:eastAsia="方正仿宋_GBK"/>
          <w:sz w:val="32"/>
          <w:szCs w:val="32"/>
        </w:rPr>
      </w:pPr>
      <w:r>
        <w:rPr>
          <w:rFonts w:ascii="Times New Roman" w:hAnsi="Times New Roman" w:eastAsia="方正仿宋_GBK"/>
          <w:b/>
          <w:sz w:val="32"/>
          <w:szCs w:val="32"/>
        </w:rPr>
        <w:t>第十三条</w:t>
      </w:r>
      <w:r>
        <w:rPr>
          <w:rFonts w:ascii="Times New Roman" w:hAnsi="Times New Roman" w:eastAsia="方正仿宋_GBK"/>
          <w:sz w:val="32"/>
          <w:szCs w:val="32"/>
        </w:rPr>
        <w:t>　建筑物配建非机动车停车设施应与机动车停车设施在空间上尽量整合协调。位于二类区、三类区的建筑物配建的非机动车停车设施，经批准后可按15∶1的比例换算为机动车停车位，其中二类区</w:t>
      </w:r>
      <w:r>
        <w:rPr>
          <w:rFonts w:ascii="Times New Roman" w:hAnsi="Times New Roman" w:eastAsia="方正仿宋_GBK"/>
          <w:bCs/>
          <w:sz w:val="32"/>
          <w:szCs w:val="32"/>
        </w:rPr>
        <w:t>转化的非机动车泊位数不得超过配建要求总量的20%，三类区转化的非机动车泊位数不得超过配建要求总量的30%</w:t>
      </w:r>
      <w:r>
        <w:rPr>
          <w:rFonts w:ascii="Times New Roman" w:hAnsi="Times New Roman" w:eastAsia="方正仿宋_GBK"/>
          <w:sz w:val="32"/>
          <w:szCs w:val="32"/>
        </w:rPr>
        <w:t>。</w:t>
      </w:r>
    </w:p>
    <w:p w14:paraId="7651371E">
      <w:pPr>
        <w:pStyle w:val="5"/>
        <w:spacing w:line="300" w:lineRule="auto"/>
        <w:ind w:firstLine="640" w:firstLineChars="200"/>
        <w:jc w:val="both"/>
        <w:rPr>
          <w:rFonts w:ascii="Times New Roman" w:hAnsi="Times New Roman" w:eastAsia="方正仿宋_GBK"/>
          <w:sz w:val="32"/>
          <w:szCs w:val="32"/>
        </w:rPr>
      </w:pPr>
      <w:r>
        <w:rPr>
          <w:rFonts w:ascii="Times New Roman" w:hAnsi="Times New Roman" w:eastAsia="方正仿宋_GBK"/>
          <w:sz w:val="32"/>
          <w:szCs w:val="32"/>
        </w:rPr>
        <w:t>非机动车停车设施不得设于地下2层及以下，其中商业设施的非机动车停车设施应尽可能在地面进行设置。</w:t>
      </w:r>
    </w:p>
    <w:p w14:paraId="1F897744">
      <w:pPr>
        <w:pStyle w:val="5"/>
        <w:spacing w:line="300" w:lineRule="auto"/>
        <w:ind w:firstLine="640" w:firstLineChars="200"/>
        <w:jc w:val="both"/>
        <w:rPr>
          <w:rFonts w:ascii="Times New Roman" w:hAnsi="Times New Roman" w:eastAsia="方正仿宋_GBK"/>
          <w:sz w:val="32"/>
          <w:szCs w:val="32"/>
        </w:rPr>
      </w:pPr>
      <w:r>
        <w:rPr>
          <w:rFonts w:ascii="Times New Roman" w:hAnsi="Times New Roman" w:eastAsia="方正仿宋_GBK"/>
          <w:sz w:val="32"/>
          <w:szCs w:val="32"/>
        </w:rPr>
        <w:t>非机动车停车设施应单独设置车辆出入口，不得与机动车出入口混合设置。</w:t>
      </w:r>
    </w:p>
    <w:p w14:paraId="317A24DF">
      <w:pPr>
        <w:pStyle w:val="5"/>
        <w:spacing w:line="300" w:lineRule="auto"/>
        <w:ind w:firstLine="640" w:firstLineChars="200"/>
        <w:rPr>
          <w:rFonts w:ascii="Times New Roman" w:hAnsi="Times New Roman" w:eastAsia="方正仿宋_GBK"/>
          <w:sz w:val="32"/>
          <w:szCs w:val="32"/>
        </w:rPr>
      </w:pPr>
      <w:r>
        <w:rPr>
          <w:rFonts w:ascii="Times New Roman" w:hAnsi="Times New Roman" w:eastAsia="方正仿宋_GBK"/>
          <w:b/>
          <w:sz w:val="32"/>
          <w:szCs w:val="32"/>
        </w:rPr>
        <w:t>第十四条</w:t>
      </w:r>
      <w:r>
        <w:rPr>
          <w:rFonts w:ascii="Times New Roman" w:hAnsi="Times New Roman" w:eastAsia="方正仿宋_GBK"/>
          <w:sz w:val="32"/>
          <w:szCs w:val="32"/>
        </w:rPr>
        <w:t>　各类公共建筑物的配建停车设施建成后应面向社会开放使用，开放使用的配建停车设施需办理车辆出入手续时，其出入口候车空间应不少于两车位。鼓励非公共建筑自用停车设施对社会开放。</w:t>
      </w:r>
    </w:p>
    <w:p w14:paraId="0D8C09F1">
      <w:pPr>
        <w:pStyle w:val="5"/>
        <w:spacing w:line="300" w:lineRule="auto"/>
        <w:ind w:firstLine="640" w:firstLineChars="200"/>
        <w:rPr>
          <w:rFonts w:ascii="Times New Roman" w:hAnsi="Times New Roman" w:eastAsia="方正仿宋_GBK"/>
          <w:sz w:val="32"/>
          <w:szCs w:val="32"/>
        </w:rPr>
      </w:pPr>
      <w:r>
        <w:rPr>
          <w:rFonts w:ascii="Times New Roman" w:hAnsi="Times New Roman" w:eastAsia="方正仿宋_GBK"/>
          <w:b/>
          <w:sz w:val="32"/>
          <w:szCs w:val="32"/>
        </w:rPr>
        <w:t>第十五条</w:t>
      </w:r>
      <w:r>
        <w:rPr>
          <w:rFonts w:ascii="Times New Roman" w:hAnsi="Times New Roman" w:eastAsia="方正仿宋_GBK"/>
          <w:sz w:val="32"/>
          <w:szCs w:val="32"/>
        </w:rPr>
        <w:t>　</w:t>
      </w:r>
      <w:bookmarkStart w:id="9" w:name="_Hlk13757325"/>
      <w:bookmarkStart w:id="10" w:name="_Hlk13768034"/>
      <w:r>
        <w:rPr>
          <w:rFonts w:ascii="Times New Roman" w:hAnsi="Times New Roman" w:eastAsia="方正仿宋_GBK"/>
          <w:sz w:val="32"/>
          <w:szCs w:val="32"/>
        </w:rPr>
        <w:t>建筑物配建停车设施的车位指标，</w:t>
      </w:r>
      <w:bookmarkStart w:id="11" w:name="_Hlk13757171"/>
      <w:r>
        <w:rPr>
          <w:rFonts w:ascii="Times New Roman" w:hAnsi="Times New Roman" w:eastAsia="方正仿宋_GBK"/>
          <w:sz w:val="32"/>
          <w:szCs w:val="32"/>
        </w:rPr>
        <w:t>机动车以小型车为计算当量</w:t>
      </w:r>
      <w:bookmarkEnd w:id="11"/>
      <w:r>
        <w:rPr>
          <w:rFonts w:ascii="Times New Roman" w:hAnsi="Times New Roman" w:eastAsia="方正仿宋_GBK"/>
          <w:sz w:val="32"/>
          <w:szCs w:val="32"/>
        </w:rPr>
        <w:t>，非机动车以自行车为计算当量，装卸车、大巴车以大型车为计算当量。</w:t>
      </w:r>
      <w:bookmarkEnd w:id="9"/>
      <w:bookmarkStart w:id="12" w:name="_Hlk13757331"/>
      <w:r>
        <w:rPr>
          <w:rFonts w:ascii="Times New Roman" w:hAnsi="Times New Roman" w:eastAsia="方正仿宋_GBK"/>
          <w:sz w:val="32"/>
          <w:szCs w:val="32"/>
        </w:rPr>
        <w:t>核算车位时，各类车型车位可按附表4所列换算系数换算成当量车型车位进行计算。</w:t>
      </w:r>
      <w:bookmarkEnd w:id="10"/>
      <w:bookmarkEnd w:id="12"/>
    </w:p>
    <w:p w14:paraId="6B42C360">
      <w:pPr>
        <w:spacing w:line="300" w:lineRule="auto"/>
        <w:ind w:firstLine="640" w:firstLineChars="200"/>
        <w:rPr>
          <w:rFonts w:eastAsia="方正仿宋_GBK"/>
          <w:sz w:val="32"/>
          <w:szCs w:val="32"/>
        </w:rPr>
      </w:pPr>
      <w:r>
        <w:rPr>
          <w:rFonts w:eastAsia="方正仿宋_GBK"/>
          <w:b/>
          <w:sz w:val="32"/>
          <w:szCs w:val="32"/>
        </w:rPr>
        <w:t>第十六条</w:t>
      </w:r>
      <w:r>
        <w:rPr>
          <w:rFonts w:eastAsia="方正仿宋_GBK"/>
          <w:sz w:val="32"/>
          <w:szCs w:val="32"/>
        </w:rPr>
        <w:t>　</w:t>
      </w:r>
      <w:bookmarkStart w:id="13" w:name="_Hlk13757296"/>
      <w:r>
        <w:rPr>
          <w:rFonts w:eastAsia="方正仿宋_GBK"/>
          <w:sz w:val="32"/>
          <w:szCs w:val="32"/>
        </w:rPr>
        <w:t>建筑物可结合自身交通特性，在以标准车位为主体的基础上，设置一定数量的其他车型机动车位，但其他车型车位所占比例不应超出全部机动车位的10%。</w:t>
      </w:r>
      <w:bookmarkEnd w:id="13"/>
    </w:p>
    <w:p w14:paraId="5FDCD6A0">
      <w:pPr>
        <w:pStyle w:val="5"/>
        <w:spacing w:line="300" w:lineRule="auto"/>
        <w:ind w:firstLine="640" w:firstLineChars="200"/>
        <w:rPr>
          <w:rFonts w:ascii="Times New Roman" w:hAnsi="Times New Roman" w:eastAsia="方正仿宋_GBK"/>
          <w:sz w:val="32"/>
          <w:szCs w:val="32"/>
        </w:rPr>
      </w:pPr>
      <w:r>
        <w:rPr>
          <w:rFonts w:ascii="Times New Roman" w:hAnsi="Times New Roman" w:eastAsia="方正仿宋_GBK"/>
          <w:b/>
          <w:sz w:val="32"/>
          <w:szCs w:val="32"/>
        </w:rPr>
        <w:t>第十七条</w:t>
      </w:r>
      <w:r>
        <w:rPr>
          <w:rFonts w:ascii="Times New Roman" w:hAnsi="Times New Roman" w:eastAsia="方正仿宋_GBK"/>
          <w:sz w:val="32"/>
          <w:szCs w:val="32"/>
        </w:rPr>
        <w:t>　大型综合性公共建筑，其配建车位数量应按各类建筑性质及其规模分别计算后累计确定。</w:t>
      </w:r>
      <w:bookmarkStart w:id="14" w:name="_Hlk13757440"/>
      <w:r>
        <w:rPr>
          <w:rFonts w:ascii="Times New Roman" w:hAnsi="Times New Roman" w:eastAsia="方正仿宋_GBK"/>
          <w:sz w:val="32"/>
          <w:szCs w:val="32"/>
        </w:rPr>
        <w:t>其中计容</w:t>
      </w:r>
      <w:bookmarkStart w:id="15" w:name="_Hlk13833527"/>
      <w:r>
        <w:rPr>
          <w:rFonts w:ascii="Times New Roman" w:hAnsi="Times New Roman" w:eastAsia="方正仿宋_GBK"/>
          <w:sz w:val="32"/>
          <w:szCs w:val="32"/>
        </w:rPr>
        <w:t>总建筑面积在5万平方米以上</w:t>
      </w:r>
      <w:bookmarkEnd w:id="15"/>
      <w:r>
        <w:rPr>
          <w:rFonts w:ascii="Times New Roman" w:hAnsi="Times New Roman" w:eastAsia="方正仿宋_GBK"/>
          <w:sz w:val="32"/>
          <w:szCs w:val="32"/>
        </w:rPr>
        <w:t>的商办建筑且次功能建筑面积占总面积20%的以上的</w:t>
      </w:r>
      <w:bookmarkEnd w:id="14"/>
      <w:r>
        <w:rPr>
          <w:rFonts w:ascii="Times New Roman" w:hAnsi="Times New Roman" w:eastAsia="方正仿宋_GBK"/>
          <w:sz w:val="32"/>
          <w:szCs w:val="32"/>
        </w:rPr>
        <w:t>，在充分考虑车位共享的可能后，配建车位总数可按各类建筑性质配建车位需求总和的85%计算。</w:t>
      </w:r>
    </w:p>
    <w:p w14:paraId="0CE397F8">
      <w:pPr>
        <w:pStyle w:val="5"/>
        <w:spacing w:line="300" w:lineRule="auto"/>
        <w:ind w:firstLine="640" w:firstLineChars="200"/>
        <w:jc w:val="both"/>
        <w:rPr>
          <w:rFonts w:ascii="Times New Roman" w:hAnsi="Times New Roman" w:eastAsia="方正仿宋_GBK"/>
          <w:sz w:val="32"/>
          <w:szCs w:val="32"/>
        </w:rPr>
      </w:pPr>
      <w:r>
        <w:rPr>
          <w:rFonts w:ascii="Times New Roman" w:hAnsi="Times New Roman" w:eastAsia="方正仿宋_GBK"/>
          <w:b/>
          <w:bCs/>
          <w:sz w:val="32"/>
          <w:szCs w:val="32"/>
        </w:rPr>
        <w:t>第十八条</w:t>
      </w:r>
      <w:r>
        <w:rPr>
          <w:rFonts w:ascii="Times New Roman" w:hAnsi="Times New Roman" w:eastAsia="方正仿宋_GBK"/>
          <w:sz w:val="32"/>
          <w:szCs w:val="32"/>
        </w:rPr>
        <w:t>　一类区内50%以上的用地面积在距离</w:t>
      </w:r>
      <w:bookmarkStart w:id="16" w:name="_Hlk13757948"/>
      <w:r>
        <w:rPr>
          <w:rFonts w:ascii="Times New Roman" w:hAnsi="Times New Roman" w:eastAsia="方正仿宋_GBK"/>
          <w:sz w:val="32"/>
          <w:szCs w:val="32"/>
        </w:rPr>
        <w:t>已建成或已批复的城市轨道交通建设规划和用地控制规划的轨道交通站</w:t>
      </w:r>
      <w:bookmarkEnd w:id="16"/>
      <w:r>
        <w:rPr>
          <w:rFonts w:ascii="Times New Roman" w:hAnsi="Times New Roman" w:eastAsia="方正仿宋_GBK"/>
          <w:sz w:val="32"/>
          <w:szCs w:val="32"/>
        </w:rPr>
        <w:t>出入口100米、300米范围内的公共建筑，可分别相应减少20%、10%的机动车停车泊位配置；二类区内50%</w:t>
      </w:r>
      <w:bookmarkStart w:id="17" w:name="_Hlk13758425"/>
      <w:r>
        <w:rPr>
          <w:rFonts w:ascii="Times New Roman" w:hAnsi="Times New Roman" w:eastAsia="方正仿宋_GBK"/>
          <w:sz w:val="32"/>
          <w:szCs w:val="32"/>
        </w:rPr>
        <w:t>以上的用地面积</w:t>
      </w:r>
      <w:bookmarkEnd w:id="17"/>
      <w:r>
        <w:rPr>
          <w:rFonts w:ascii="Times New Roman" w:hAnsi="Times New Roman" w:eastAsia="方正仿宋_GBK"/>
          <w:sz w:val="32"/>
          <w:szCs w:val="32"/>
        </w:rPr>
        <w:t>在距离已建成或已批复的城市轨道交通建设规划和用地控制规划的轨道交通站出入口100米范围内的公共建筑，可减少10%的机动车停车泊位配置。</w:t>
      </w:r>
    </w:p>
    <w:p w14:paraId="3A125E01">
      <w:pPr>
        <w:pStyle w:val="5"/>
        <w:spacing w:line="300" w:lineRule="auto"/>
        <w:ind w:firstLine="640" w:firstLineChars="200"/>
        <w:jc w:val="both"/>
        <w:rPr>
          <w:rFonts w:ascii="Times New Roman" w:hAnsi="Times New Roman" w:eastAsia="方正仿宋_GBK"/>
          <w:sz w:val="32"/>
          <w:szCs w:val="32"/>
        </w:rPr>
      </w:pPr>
      <w:r>
        <w:rPr>
          <w:rFonts w:ascii="Times New Roman" w:hAnsi="Times New Roman" w:eastAsia="方正仿宋_GBK"/>
          <w:sz w:val="32"/>
          <w:szCs w:val="32"/>
        </w:rPr>
        <w:t>距离已建成或已批复的城市轨道交通建设规划和用地控制规划的轨道交通站出入口300米范围以内地区，在商业建筑满足容积率5.5（含5.5）以上、办公建筑满足容积率5.0（含5.0）以上，或办公、商业建筑满足地块规划建设计容面积在20万（含20万）平方米以上的要求时，商业、办公功能的机动车配建指标一类区、二类区、三类区可分别按0.7、0.8、0.9个/100平方米建筑面积执行，其余功能仍按相关标准执行，并且不能与其他条款规定重复折减。</w:t>
      </w:r>
    </w:p>
    <w:p w14:paraId="6D2796AD">
      <w:pPr>
        <w:pStyle w:val="5"/>
        <w:spacing w:line="300" w:lineRule="auto"/>
        <w:ind w:firstLine="640" w:firstLineChars="200"/>
        <w:jc w:val="both"/>
        <w:rPr>
          <w:rFonts w:ascii="Times New Roman" w:hAnsi="Times New Roman" w:eastAsia="方正仿宋_GBK"/>
          <w:sz w:val="32"/>
          <w:szCs w:val="32"/>
        </w:rPr>
      </w:pPr>
      <w:r>
        <w:rPr>
          <w:rFonts w:ascii="Times New Roman" w:hAnsi="Times New Roman" w:eastAsia="方正仿宋_GBK"/>
          <w:sz w:val="32"/>
          <w:szCs w:val="32"/>
        </w:rPr>
        <w:t>本条相关规定不得在第</w:t>
      </w:r>
      <w:bookmarkStart w:id="30" w:name="_GoBack"/>
      <w:bookmarkEnd w:id="30"/>
      <w:r>
        <w:rPr>
          <w:rFonts w:ascii="Times New Roman" w:hAnsi="Times New Roman" w:eastAsia="方正仿宋_GBK"/>
          <w:sz w:val="32"/>
          <w:szCs w:val="32"/>
        </w:rPr>
        <w:t>十七条的基础上重复折减。</w:t>
      </w:r>
    </w:p>
    <w:p w14:paraId="311ABB50">
      <w:pPr>
        <w:pStyle w:val="5"/>
        <w:spacing w:line="300" w:lineRule="auto"/>
        <w:ind w:firstLine="640" w:firstLineChars="200"/>
        <w:jc w:val="both"/>
        <w:rPr>
          <w:rFonts w:ascii="Times New Roman" w:hAnsi="Times New Roman" w:eastAsia="方正仿宋_GBK"/>
          <w:sz w:val="32"/>
          <w:szCs w:val="32"/>
        </w:rPr>
      </w:pPr>
      <w:r>
        <w:rPr>
          <w:rFonts w:ascii="Times New Roman" w:hAnsi="Times New Roman" w:eastAsia="方正仿宋_GBK"/>
          <w:b/>
          <w:sz w:val="32"/>
          <w:szCs w:val="32"/>
        </w:rPr>
        <w:t>第十九条</w:t>
      </w:r>
      <w:r>
        <w:rPr>
          <w:rFonts w:ascii="Times New Roman" w:hAnsi="Times New Roman" w:eastAsia="方正仿宋_GBK"/>
          <w:sz w:val="32"/>
          <w:szCs w:val="32"/>
        </w:rPr>
        <w:t>　群体建设的建筑物，在符合规定的配建停车设施总指标的条件下，可以统一安排，协调布置。但分期建设的群体性建筑，其分期停车设施配建数量应不低于同期应配建规模。</w:t>
      </w:r>
    </w:p>
    <w:p w14:paraId="15F703C7">
      <w:pPr>
        <w:pStyle w:val="5"/>
        <w:spacing w:line="300" w:lineRule="auto"/>
        <w:ind w:firstLine="640" w:firstLineChars="200"/>
        <w:jc w:val="both"/>
        <w:rPr>
          <w:rFonts w:ascii="Times New Roman" w:hAnsi="Times New Roman" w:eastAsia="方正仿宋_GBK"/>
          <w:sz w:val="32"/>
          <w:szCs w:val="32"/>
        </w:rPr>
      </w:pPr>
      <w:r>
        <w:rPr>
          <w:rFonts w:ascii="Times New Roman" w:hAnsi="Times New Roman" w:eastAsia="方正仿宋_GBK"/>
          <w:b/>
          <w:sz w:val="32"/>
          <w:szCs w:val="32"/>
        </w:rPr>
        <w:t>第二十条</w:t>
      </w:r>
      <w:r>
        <w:rPr>
          <w:rFonts w:ascii="Times New Roman" w:hAnsi="Times New Roman" w:eastAsia="方正仿宋_GBK"/>
          <w:sz w:val="32"/>
          <w:szCs w:val="32"/>
        </w:rPr>
        <w:t>　</w:t>
      </w:r>
      <w:bookmarkStart w:id="18" w:name="_Hlk13760424"/>
      <w:r>
        <w:rPr>
          <w:rFonts w:ascii="Times New Roman" w:hAnsi="Times New Roman" w:eastAsia="方正仿宋_GBK"/>
          <w:sz w:val="32"/>
          <w:szCs w:val="32"/>
        </w:rPr>
        <w:t>各类建筑物应设置无障碍车位（见附表3），一个无障碍车位相当于1个机动车标准车位，每设置一个无障碍车位可减设1个机动车标准车位。宾馆、饭店等需设置大巴车位的建筑物（见附表3），每设置1个大巴车位可减设2.5个机动车标准车位。</w:t>
      </w:r>
      <w:bookmarkEnd w:id="18"/>
    </w:p>
    <w:p w14:paraId="0C792A9D">
      <w:pPr>
        <w:pStyle w:val="5"/>
        <w:spacing w:line="300" w:lineRule="auto"/>
        <w:ind w:firstLine="640" w:firstLineChars="200"/>
        <w:jc w:val="both"/>
        <w:rPr>
          <w:rFonts w:ascii="Times New Roman" w:hAnsi="Times New Roman" w:eastAsia="方正仿宋_GBK"/>
          <w:sz w:val="32"/>
          <w:szCs w:val="32"/>
        </w:rPr>
      </w:pPr>
      <w:r>
        <w:rPr>
          <w:rFonts w:ascii="Times New Roman" w:hAnsi="Times New Roman" w:eastAsia="方正仿宋_GBK"/>
          <w:b/>
          <w:sz w:val="32"/>
          <w:szCs w:val="32"/>
        </w:rPr>
        <w:t>第二十一条</w:t>
      </w:r>
      <w:r>
        <w:rPr>
          <w:rFonts w:ascii="Times New Roman" w:hAnsi="Times New Roman" w:eastAsia="方正仿宋_GBK"/>
          <w:sz w:val="32"/>
          <w:szCs w:val="32"/>
        </w:rPr>
        <w:t>　综合医院、专科医院等建筑物应设置不少于5个临时性地面落客停车位。鼓励上述性质建筑物依据需求增设临时性地面落客停车位。临时性地面落客停车位计入建筑物配建停车指标总量，并应与出租车位统一设置。</w:t>
      </w:r>
    </w:p>
    <w:p w14:paraId="5999E67D">
      <w:pPr>
        <w:pStyle w:val="5"/>
        <w:spacing w:line="300" w:lineRule="auto"/>
        <w:ind w:firstLine="640" w:firstLineChars="200"/>
        <w:rPr>
          <w:rFonts w:ascii="Times New Roman" w:hAnsi="Times New Roman" w:eastAsia="方正仿宋_GBK"/>
          <w:sz w:val="32"/>
          <w:szCs w:val="32"/>
        </w:rPr>
      </w:pPr>
      <w:r>
        <w:rPr>
          <w:rFonts w:ascii="Times New Roman" w:hAnsi="Times New Roman" w:eastAsia="方正仿宋_GBK"/>
          <w:b/>
          <w:sz w:val="32"/>
          <w:szCs w:val="32"/>
        </w:rPr>
        <w:t>第二十二条</w:t>
      </w:r>
      <w:r>
        <w:rPr>
          <w:rFonts w:ascii="Times New Roman" w:hAnsi="Times New Roman" w:eastAsia="方正仿宋_GBK"/>
          <w:sz w:val="32"/>
          <w:szCs w:val="32"/>
        </w:rPr>
        <w:t>　城市建筑物配建停车设施应充分预留机动车充电设施。</w:t>
      </w:r>
    </w:p>
    <w:p w14:paraId="580D342B">
      <w:pPr>
        <w:pStyle w:val="5"/>
        <w:spacing w:line="300" w:lineRule="auto"/>
        <w:ind w:firstLine="640" w:firstLineChars="200"/>
        <w:jc w:val="both"/>
        <w:rPr>
          <w:rFonts w:ascii="Times New Roman" w:hAnsi="Times New Roman" w:eastAsia="方正仿宋_GBK"/>
          <w:sz w:val="32"/>
          <w:szCs w:val="32"/>
        </w:rPr>
      </w:pPr>
      <w:r>
        <w:rPr>
          <w:rFonts w:ascii="Times New Roman" w:hAnsi="Times New Roman" w:eastAsia="方正仿宋_GBK"/>
          <w:sz w:val="32"/>
          <w:szCs w:val="32"/>
        </w:rPr>
        <w:t>（一）大型公共建筑物的配建停车设施应按照不低于车位10%的比例配建电动汽车充电设施。</w:t>
      </w:r>
    </w:p>
    <w:p w14:paraId="18DAD4EE">
      <w:pPr>
        <w:pStyle w:val="5"/>
        <w:spacing w:line="300" w:lineRule="auto"/>
        <w:ind w:firstLine="640" w:firstLineChars="200"/>
        <w:jc w:val="both"/>
        <w:rPr>
          <w:rFonts w:ascii="Times New Roman" w:hAnsi="Times New Roman" w:eastAsia="方正仿宋_GBK"/>
          <w:sz w:val="32"/>
          <w:szCs w:val="32"/>
        </w:rPr>
      </w:pPr>
      <w:r>
        <w:rPr>
          <w:rFonts w:ascii="Times New Roman" w:hAnsi="Times New Roman" w:eastAsia="方正仿宋_GBK"/>
          <w:sz w:val="32"/>
          <w:szCs w:val="32"/>
        </w:rPr>
        <w:t>（二）在新建居住小区的停车设施建设中，应为每个车位预留充电设施的建设条件，包括预留电动充电设施的用电容量。</w:t>
      </w:r>
    </w:p>
    <w:p w14:paraId="6AE3C037">
      <w:pPr>
        <w:pStyle w:val="5"/>
        <w:spacing w:line="300" w:lineRule="auto"/>
        <w:ind w:firstLine="640" w:firstLineChars="200"/>
        <w:jc w:val="both"/>
        <w:rPr>
          <w:rFonts w:ascii="Times New Roman" w:hAnsi="Times New Roman" w:eastAsia="方正仿宋_GBK"/>
          <w:sz w:val="32"/>
          <w:szCs w:val="32"/>
        </w:rPr>
      </w:pPr>
      <w:r>
        <w:rPr>
          <w:rFonts w:ascii="Times New Roman" w:hAnsi="Times New Roman" w:eastAsia="方正仿宋_GBK"/>
          <w:sz w:val="32"/>
          <w:szCs w:val="32"/>
        </w:rPr>
        <w:t>电动汽车充电设施的配置标准和技术要求应在核发的建设工程规划条件中予以明确。</w:t>
      </w:r>
    </w:p>
    <w:p w14:paraId="4E6E2C6B">
      <w:pPr>
        <w:pStyle w:val="5"/>
        <w:spacing w:line="300" w:lineRule="auto"/>
        <w:ind w:firstLine="640" w:firstLineChars="200"/>
        <w:jc w:val="both"/>
        <w:rPr>
          <w:rFonts w:ascii="Times New Roman" w:hAnsi="Times New Roman" w:eastAsia="方正仿宋_GBK"/>
          <w:sz w:val="32"/>
          <w:szCs w:val="32"/>
        </w:rPr>
      </w:pPr>
      <w:r>
        <w:rPr>
          <w:rFonts w:ascii="Times New Roman" w:hAnsi="Times New Roman" w:eastAsia="方正仿宋_GBK"/>
          <w:b/>
          <w:sz w:val="32"/>
          <w:szCs w:val="32"/>
        </w:rPr>
        <w:t>第二十三条</w:t>
      </w:r>
      <w:r>
        <w:rPr>
          <w:rFonts w:hint="eastAsia" w:ascii="Times New Roman" w:hAnsi="Times New Roman" w:eastAsia="方正仿宋_GBK"/>
          <w:b/>
          <w:sz w:val="32"/>
          <w:szCs w:val="32"/>
        </w:rPr>
        <w:t xml:space="preserve">  </w:t>
      </w:r>
      <w:r>
        <w:rPr>
          <w:rFonts w:ascii="Times New Roman" w:hAnsi="Times New Roman" w:eastAsia="方正仿宋_GBK"/>
          <w:sz w:val="32"/>
          <w:szCs w:val="32"/>
        </w:rPr>
        <w:t>各类建筑物应集中设置非机动车充电设施，设置比例不得低于非机动车停车位的30%。</w:t>
      </w:r>
    </w:p>
    <w:p w14:paraId="67737A83">
      <w:pPr>
        <w:pStyle w:val="5"/>
        <w:spacing w:line="300" w:lineRule="auto"/>
        <w:ind w:firstLine="640" w:firstLineChars="200"/>
        <w:jc w:val="both"/>
        <w:rPr>
          <w:rFonts w:ascii="Times New Roman" w:hAnsi="Times New Roman" w:eastAsia="方正仿宋_GBK"/>
          <w:sz w:val="32"/>
          <w:szCs w:val="32"/>
        </w:rPr>
      </w:pPr>
      <w:r>
        <w:rPr>
          <w:rFonts w:ascii="Times New Roman" w:hAnsi="Times New Roman" w:eastAsia="方正仿宋_GBK"/>
          <w:b/>
          <w:sz w:val="32"/>
          <w:szCs w:val="32"/>
        </w:rPr>
        <w:t>第二十四条</w:t>
      </w:r>
      <w:r>
        <w:rPr>
          <w:rFonts w:hint="eastAsia" w:ascii="Times New Roman" w:hAnsi="Times New Roman" w:eastAsia="方正仿宋_GBK"/>
          <w:b/>
          <w:sz w:val="32"/>
          <w:szCs w:val="32"/>
        </w:rPr>
        <w:t xml:space="preserve">  </w:t>
      </w:r>
      <w:r>
        <w:rPr>
          <w:rFonts w:ascii="Times New Roman" w:hAnsi="Times New Roman" w:eastAsia="方正仿宋_GBK"/>
          <w:sz w:val="32"/>
          <w:szCs w:val="32"/>
        </w:rPr>
        <w:t>住宅类建筑应设置访客车位，且不计入配建机动车停车位数。访客停车位数量不应小于配建机动车停车位总数的2%，且最多设置20个，不得出售或出租。</w:t>
      </w:r>
    </w:p>
    <w:p w14:paraId="65AF8653">
      <w:pPr>
        <w:pStyle w:val="5"/>
        <w:spacing w:line="300" w:lineRule="auto"/>
        <w:ind w:firstLine="640" w:firstLineChars="200"/>
        <w:jc w:val="both"/>
        <w:rPr>
          <w:rFonts w:ascii="Times New Roman" w:hAnsi="Times New Roman" w:eastAsia="方正仿宋_GBK"/>
          <w:sz w:val="32"/>
          <w:szCs w:val="32"/>
        </w:rPr>
      </w:pPr>
      <w:r>
        <w:rPr>
          <w:rFonts w:ascii="Times New Roman" w:hAnsi="Times New Roman" w:eastAsia="方正仿宋_GBK"/>
          <w:b/>
          <w:sz w:val="32"/>
          <w:szCs w:val="32"/>
        </w:rPr>
        <w:t>第二十五条</w:t>
      </w:r>
      <w:r>
        <w:rPr>
          <w:rFonts w:ascii="Times New Roman" w:hAnsi="Times New Roman" w:eastAsia="方正仿宋_GBK"/>
          <w:sz w:val="32"/>
          <w:szCs w:val="32"/>
        </w:rPr>
        <w:t>　新建建筑应在自身用地范围内落实公共自行车服务点场地或共享单车停车区域。建筑配设的公共自行车场地或共享单车停车区域应使用方便并满足对外开放条件。新建建筑公共自行车配置规模及位置根据相关专项规划予以确定，在方案审批中予以落实，并由地块所在建设单位负责与项目同步建设。</w:t>
      </w:r>
    </w:p>
    <w:p w14:paraId="71709F2A">
      <w:pPr>
        <w:pStyle w:val="5"/>
        <w:spacing w:line="300" w:lineRule="auto"/>
        <w:ind w:firstLine="640" w:firstLineChars="200"/>
        <w:jc w:val="both"/>
        <w:rPr>
          <w:rFonts w:ascii="Times New Roman" w:hAnsi="Times New Roman" w:eastAsia="方正仿宋_GBK"/>
          <w:sz w:val="32"/>
          <w:szCs w:val="32"/>
        </w:rPr>
      </w:pPr>
      <w:r>
        <w:rPr>
          <w:rFonts w:ascii="Times New Roman" w:hAnsi="Times New Roman" w:eastAsia="方正仿宋_GBK"/>
          <w:sz w:val="32"/>
          <w:szCs w:val="32"/>
        </w:rPr>
        <w:t>在用地范围内设置公共自行车网点或共享单车停车区域的建设工程，可按公共自行车及共享单车与配建非机动车1:3的比例折减非机动车配建数量，且不应超过配建要求总量的30%。公共自行车网点或共享单车停车区域应设置于地面，对外开放使用，单点规模不宜小于15辆。</w:t>
      </w:r>
    </w:p>
    <w:p w14:paraId="70A4364F">
      <w:pPr>
        <w:pStyle w:val="5"/>
        <w:spacing w:line="300" w:lineRule="auto"/>
        <w:ind w:firstLine="640" w:firstLineChars="200"/>
        <w:rPr>
          <w:rFonts w:ascii="Times New Roman" w:hAnsi="Times New Roman" w:eastAsia="方正仿宋_GBK"/>
          <w:sz w:val="32"/>
          <w:szCs w:val="32"/>
        </w:rPr>
      </w:pPr>
      <w:r>
        <w:rPr>
          <w:rFonts w:ascii="Times New Roman" w:hAnsi="Times New Roman" w:eastAsia="方正仿宋_GBK"/>
          <w:b/>
          <w:sz w:val="32"/>
          <w:szCs w:val="32"/>
        </w:rPr>
        <w:t>第二十六条</w:t>
      </w:r>
      <w:r>
        <w:rPr>
          <w:rFonts w:ascii="Times New Roman" w:hAnsi="Times New Roman" w:eastAsia="方正仿宋_GBK"/>
          <w:sz w:val="32"/>
          <w:szCs w:val="32"/>
        </w:rPr>
        <w:t>　建筑物按配建指标计算出的车位数，尾数不足1个的按1个计算。</w:t>
      </w:r>
    </w:p>
    <w:p w14:paraId="6DFD524E">
      <w:pPr>
        <w:pStyle w:val="5"/>
        <w:spacing w:line="300" w:lineRule="auto"/>
        <w:ind w:firstLine="640" w:firstLineChars="200"/>
        <w:jc w:val="both"/>
        <w:rPr>
          <w:rFonts w:ascii="Times New Roman" w:hAnsi="Times New Roman" w:eastAsia="方正仿宋_GBK"/>
          <w:sz w:val="32"/>
          <w:szCs w:val="32"/>
        </w:rPr>
      </w:pPr>
      <w:r>
        <w:rPr>
          <w:rFonts w:ascii="Times New Roman" w:hAnsi="Times New Roman" w:eastAsia="方正仿宋_GBK"/>
          <w:b/>
          <w:sz w:val="32"/>
          <w:szCs w:val="32"/>
        </w:rPr>
        <w:t>第二十七条</w:t>
      </w:r>
      <w:r>
        <w:rPr>
          <w:rFonts w:ascii="Times New Roman" w:hAnsi="Times New Roman" w:eastAsia="方正仿宋_GBK"/>
          <w:sz w:val="32"/>
          <w:szCs w:val="32"/>
        </w:rPr>
        <w:t>　</w:t>
      </w:r>
      <w:bookmarkStart w:id="19" w:name="_Hlk11340044"/>
      <w:r>
        <w:rPr>
          <w:rFonts w:ascii="Times New Roman" w:hAnsi="Times New Roman" w:eastAsia="方正仿宋_GBK"/>
          <w:sz w:val="32"/>
          <w:szCs w:val="32"/>
        </w:rPr>
        <w:t>建筑方案审批前，建设项目确因地理、建设条件因素制约，在采取技术措施后仍低于配建标准的，经市规划资源主管部门批准后，不足部分按有关异地建设规定执行</w:t>
      </w:r>
      <w:bookmarkEnd w:id="19"/>
      <w:r>
        <w:rPr>
          <w:rFonts w:ascii="Times New Roman" w:hAnsi="Times New Roman" w:eastAsia="方正仿宋_GBK"/>
          <w:sz w:val="32"/>
          <w:szCs w:val="32"/>
        </w:rPr>
        <w:t>，但必须符合以下规定：</w:t>
      </w:r>
    </w:p>
    <w:p w14:paraId="3DFFAFD8">
      <w:pPr>
        <w:pStyle w:val="5"/>
        <w:spacing w:line="300" w:lineRule="auto"/>
        <w:ind w:firstLine="640" w:firstLineChars="200"/>
        <w:jc w:val="both"/>
        <w:rPr>
          <w:rFonts w:ascii="Times New Roman" w:hAnsi="Times New Roman" w:eastAsia="方正仿宋_GBK"/>
          <w:sz w:val="32"/>
          <w:szCs w:val="32"/>
        </w:rPr>
      </w:pPr>
      <w:r>
        <w:rPr>
          <w:rFonts w:ascii="Times New Roman" w:hAnsi="Times New Roman" w:eastAsia="方正仿宋_GBK"/>
          <w:sz w:val="32"/>
          <w:szCs w:val="32"/>
        </w:rPr>
        <w:t>（一）周边200米范围内应有对外开放的公共停车设施。</w:t>
      </w:r>
    </w:p>
    <w:p w14:paraId="55C3B29D">
      <w:pPr>
        <w:pStyle w:val="5"/>
        <w:spacing w:line="300" w:lineRule="auto"/>
        <w:ind w:firstLine="640" w:firstLineChars="200"/>
        <w:jc w:val="both"/>
        <w:rPr>
          <w:rFonts w:ascii="Times New Roman" w:hAnsi="Times New Roman" w:eastAsia="方正仿宋_GBK"/>
          <w:sz w:val="32"/>
          <w:szCs w:val="32"/>
        </w:rPr>
      </w:pPr>
      <w:r>
        <w:rPr>
          <w:rFonts w:ascii="Times New Roman" w:hAnsi="Times New Roman" w:eastAsia="方正仿宋_GBK"/>
          <w:sz w:val="32"/>
          <w:szCs w:val="32"/>
        </w:rPr>
        <w:t>（二）少配建的停车泊位数最大不得超过建筑物应配建下限值与附表5规定的相应比例的乘积。</w:t>
      </w:r>
    </w:p>
    <w:p w14:paraId="2E00ED55">
      <w:pPr>
        <w:pStyle w:val="5"/>
        <w:spacing w:line="300" w:lineRule="auto"/>
        <w:ind w:firstLine="640" w:firstLineChars="200"/>
        <w:jc w:val="both"/>
        <w:rPr>
          <w:rFonts w:ascii="Times New Roman" w:hAnsi="Times New Roman" w:eastAsia="方正仿宋_GBK"/>
          <w:sz w:val="32"/>
          <w:szCs w:val="32"/>
        </w:rPr>
      </w:pPr>
      <w:r>
        <w:rPr>
          <w:rFonts w:ascii="Times New Roman" w:hAnsi="Times New Roman" w:eastAsia="方正仿宋_GBK"/>
          <w:b/>
          <w:sz w:val="32"/>
          <w:szCs w:val="32"/>
        </w:rPr>
        <w:t>第二十八条</w:t>
      </w:r>
      <w:r>
        <w:rPr>
          <w:rFonts w:ascii="Times New Roman" w:hAnsi="Times New Roman" w:eastAsia="方正仿宋_GBK"/>
          <w:sz w:val="32"/>
          <w:szCs w:val="32"/>
        </w:rPr>
        <w:t>　本《标准与准则》自2019年10月1日起施行，凡是新出规划条件的建设项目，均应执行本《标准与准则》。2015年8月1日后已出规划条件的建设项目，可按照原规划条件执行，但需在2020年4月1日前领取建设工程规划许可证，否则须按本《标准与准则》执行。</w:t>
      </w:r>
    </w:p>
    <w:p w14:paraId="588FE834">
      <w:pPr>
        <w:ind w:firstLine="640" w:firstLineChars="200"/>
        <w:rPr>
          <w:rFonts w:ascii="方正仿宋_GBK" w:eastAsia="方正仿宋_GBK"/>
          <w:sz w:val="32"/>
          <w:szCs w:val="32"/>
        </w:rPr>
      </w:pPr>
      <w:r>
        <w:rPr>
          <w:rFonts w:hint="eastAsia" w:ascii="方正仿宋_GBK" w:eastAsia="方正仿宋_GBK"/>
          <w:sz w:val="32"/>
          <w:szCs w:val="32"/>
        </w:rPr>
        <w:t>附表：1．机动车标准车位配建指标</w:t>
      </w:r>
    </w:p>
    <w:p w14:paraId="1281A4E2">
      <w:pPr>
        <w:rPr>
          <w:rFonts w:ascii="方正仿宋_GBK" w:eastAsia="方正仿宋_GBK"/>
          <w:sz w:val="32"/>
          <w:szCs w:val="32"/>
        </w:rPr>
      </w:pPr>
      <w:r>
        <w:rPr>
          <w:rFonts w:hint="eastAsia" w:ascii="方正仿宋_GBK" w:eastAsia="方正仿宋_GBK"/>
          <w:sz w:val="32"/>
          <w:szCs w:val="32"/>
        </w:rPr>
        <w:t xml:space="preserve">          2．非机动车标准车位配建指标</w:t>
      </w:r>
    </w:p>
    <w:p w14:paraId="6EED252E">
      <w:pPr>
        <w:rPr>
          <w:rFonts w:ascii="方正仿宋_GBK" w:eastAsia="方正仿宋_GBK"/>
          <w:sz w:val="32"/>
          <w:szCs w:val="32"/>
        </w:rPr>
      </w:pPr>
      <w:r>
        <w:rPr>
          <w:rFonts w:hint="eastAsia" w:ascii="方正仿宋_GBK" w:eastAsia="方正仿宋_GBK"/>
          <w:sz w:val="32"/>
          <w:szCs w:val="32"/>
        </w:rPr>
        <w:t xml:space="preserve">          3．机动车特殊停车位配建指标</w:t>
      </w:r>
    </w:p>
    <w:p w14:paraId="3E7F5681">
      <w:pPr>
        <w:ind w:left="2080" w:hanging="2080" w:hangingChars="650"/>
        <w:rPr>
          <w:rFonts w:ascii="方正仿宋_GBK" w:eastAsia="方正仿宋_GBK"/>
          <w:sz w:val="32"/>
          <w:szCs w:val="32"/>
        </w:rPr>
      </w:pPr>
      <w:r>
        <w:rPr>
          <w:rFonts w:hint="eastAsia" w:ascii="方正仿宋_GBK" w:eastAsia="方正仿宋_GBK"/>
          <w:sz w:val="32"/>
          <w:szCs w:val="32"/>
        </w:rPr>
        <w:t xml:space="preserve">          4．其他车型折合成小型车车位或自行车车位的车位换算值</w:t>
      </w:r>
    </w:p>
    <w:p w14:paraId="2038924F">
      <w:pPr>
        <w:rPr>
          <w:rFonts w:ascii="方正仿宋_GBK" w:eastAsia="方正仿宋_GBK"/>
          <w:sz w:val="32"/>
          <w:szCs w:val="32"/>
        </w:rPr>
      </w:pPr>
      <w:r>
        <w:rPr>
          <w:rFonts w:hint="eastAsia" w:ascii="方正仿宋_GBK" w:eastAsia="方正仿宋_GBK"/>
          <w:sz w:val="32"/>
          <w:szCs w:val="32"/>
        </w:rPr>
        <w:t xml:space="preserve">          5．允许少配建停车泊位数比例最大值</w:t>
      </w:r>
    </w:p>
    <w:p w14:paraId="100F3B3C">
      <w:pPr>
        <w:spacing w:line="360" w:lineRule="auto"/>
        <w:rPr>
          <w:rFonts w:ascii="方正黑体_GBK" w:eastAsia="方正黑体_GBK"/>
          <w:sz w:val="32"/>
          <w:szCs w:val="32"/>
        </w:rPr>
      </w:pPr>
      <w:r>
        <w:rPr>
          <w:rFonts w:hint="eastAsia" w:ascii="方正黑体_GBK" w:eastAsia="方正黑体_GBK"/>
          <w:sz w:val="32"/>
          <w:szCs w:val="32"/>
        </w:rPr>
        <w:t>附表1</w:t>
      </w:r>
    </w:p>
    <w:p w14:paraId="10C2742C">
      <w:pPr>
        <w:spacing w:line="360" w:lineRule="auto"/>
        <w:jc w:val="center"/>
        <w:rPr>
          <w:b/>
          <w:sz w:val="24"/>
        </w:rPr>
      </w:pPr>
      <w:r>
        <w:rPr>
          <w:rFonts w:hint="eastAsia"/>
          <w:b/>
          <w:sz w:val="24"/>
        </w:rPr>
        <w:t>机动车标准车位配建指标</w:t>
      </w:r>
    </w:p>
    <w:tbl>
      <w:tblPr>
        <w:tblStyle w:val="6"/>
        <w:tblW w:w="5384"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958"/>
        <w:gridCol w:w="532"/>
        <w:gridCol w:w="1942"/>
        <w:gridCol w:w="1929"/>
        <w:gridCol w:w="707"/>
        <w:gridCol w:w="685"/>
        <w:gridCol w:w="872"/>
        <w:gridCol w:w="818"/>
      </w:tblGrid>
      <w:tr w14:paraId="61A5733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blHeader/>
          <w:jc w:val="center"/>
        </w:trPr>
        <w:tc>
          <w:tcPr>
            <w:tcW w:w="2270" w:type="pct"/>
            <w:gridSpan w:val="4"/>
            <w:vMerge w:val="restart"/>
            <w:vAlign w:val="center"/>
          </w:tcPr>
          <w:p w14:paraId="38DD7A7B">
            <w:pPr>
              <w:widowControl/>
              <w:jc w:val="center"/>
              <w:rPr>
                <w:rFonts w:asciiTheme="majorEastAsia" w:hAnsiTheme="majorEastAsia" w:eastAsiaTheme="majorEastAsia"/>
                <w:kern w:val="0"/>
                <w:sz w:val="21"/>
                <w:szCs w:val="21"/>
              </w:rPr>
            </w:pPr>
            <w:bookmarkStart w:id="20" w:name="_Hlk13765379"/>
            <w:r>
              <w:rPr>
                <w:rFonts w:asciiTheme="majorEastAsia" w:hAnsiTheme="majorEastAsia" w:eastAsiaTheme="majorEastAsia"/>
                <w:kern w:val="0"/>
                <w:sz w:val="21"/>
                <w:szCs w:val="21"/>
              </w:rPr>
              <w:t>建筑物类型</w:t>
            </w:r>
          </w:p>
        </w:tc>
        <w:tc>
          <w:tcPr>
            <w:tcW w:w="1051" w:type="pct"/>
            <w:vMerge w:val="restart"/>
            <w:vAlign w:val="center"/>
          </w:tcPr>
          <w:p w14:paraId="3BC21B24">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计算单位</w:t>
            </w:r>
          </w:p>
        </w:tc>
        <w:tc>
          <w:tcPr>
            <w:tcW w:w="1679" w:type="pct"/>
            <w:gridSpan w:val="4"/>
            <w:vAlign w:val="center"/>
          </w:tcPr>
          <w:p w14:paraId="59125076">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机动车指标</w:t>
            </w:r>
          </w:p>
        </w:tc>
      </w:tr>
      <w:tr w14:paraId="63D96D1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7" w:hRule="atLeast"/>
          <w:tblHeader/>
          <w:jc w:val="center"/>
        </w:trPr>
        <w:tc>
          <w:tcPr>
            <w:tcW w:w="2270" w:type="pct"/>
            <w:gridSpan w:val="4"/>
            <w:vMerge w:val="continue"/>
            <w:vAlign w:val="center"/>
          </w:tcPr>
          <w:p w14:paraId="6FD3ADB6">
            <w:pPr>
              <w:widowControl/>
              <w:jc w:val="center"/>
              <w:rPr>
                <w:rFonts w:asciiTheme="majorEastAsia" w:hAnsiTheme="majorEastAsia" w:eastAsiaTheme="majorEastAsia"/>
                <w:kern w:val="0"/>
                <w:sz w:val="21"/>
                <w:szCs w:val="21"/>
              </w:rPr>
            </w:pPr>
          </w:p>
        </w:tc>
        <w:tc>
          <w:tcPr>
            <w:tcW w:w="1051" w:type="pct"/>
            <w:vMerge w:val="continue"/>
            <w:vAlign w:val="center"/>
          </w:tcPr>
          <w:p w14:paraId="452D6565">
            <w:pPr>
              <w:widowControl/>
              <w:jc w:val="center"/>
              <w:rPr>
                <w:rFonts w:asciiTheme="majorEastAsia" w:hAnsiTheme="majorEastAsia" w:eastAsiaTheme="majorEastAsia"/>
                <w:kern w:val="0"/>
                <w:sz w:val="21"/>
                <w:szCs w:val="21"/>
              </w:rPr>
            </w:pPr>
          </w:p>
        </w:tc>
        <w:tc>
          <w:tcPr>
            <w:tcW w:w="758" w:type="pct"/>
            <w:gridSpan w:val="2"/>
            <w:vAlign w:val="center"/>
          </w:tcPr>
          <w:p w14:paraId="5D6C3FDB">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一类区</w:t>
            </w:r>
          </w:p>
        </w:tc>
        <w:tc>
          <w:tcPr>
            <w:tcW w:w="475" w:type="pct"/>
            <w:vAlign w:val="center"/>
          </w:tcPr>
          <w:p w14:paraId="25606925">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二类区</w:t>
            </w:r>
          </w:p>
        </w:tc>
        <w:tc>
          <w:tcPr>
            <w:tcW w:w="446" w:type="pct"/>
            <w:vAlign w:val="center"/>
          </w:tcPr>
          <w:p w14:paraId="720CEC70">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三类区</w:t>
            </w:r>
          </w:p>
        </w:tc>
      </w:tr>
      <w:tr w14:paraId="09E7C34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blHeader/>
          <w:jc w:val="center"/>
        </w:trPr>
        <w:tc>
          <w:tcPr>
            <w:tcW w:w="2270" w:type="pct"/>
            <w:gridSpan w:val="4"/>
            <w:vMerge w:val="continue"/>
            <w:vAlign w:val="center"/>
          </w:tcPr>
          <w:p w14:paraId="1A563D08">
            <w:pPr>
              <w:widowControl/>
              <w:jc w:val="center"/>
              <w:rPr>
                <w:rFonts w:asciiTheme="majorEastAsia" w:hAnsiTheme="majorEastAsia" w:eastAsiaTheme="majorEastAsia"/>
                <w:kern w:val="0"/>
                <w:sz w:val="21"/>
                <w:szCs w:val="21"/>
              </w:rPr>
            </w:pPr>
          </w:p>
        </w:tc>
        <w:tc>
          <w:tcPr>
            <w:tcW w:w="1051" w:type="pct"/>
            <w:vMerge w:val="continue"/>
            <w:vAlign w:val="center"/>
          </w:tcPr>
          <w:p w14:paraId="77BC8DFA">
            <w:pPr>
              <w:widowControl/>
              <w:jc w:val="center"/>
              <w:rPr>
                <w:rFonts w:asciiTheme="majorEastAsia" w:hAnsiTheme="majorEastAsia" w:eastAsiaTheme="majorEastAsia"/>
                <w:kern w:val="0"/>
                <w:sz w:val="21"/>
                <w:szCs w:val="21"/>
              </w:rPr>
            </w:pPr>
          </w:p>
        </w:tc>
        <w:tc>
          <w:tcPr>
            <w:tcW w:w="385" w:type="pct"/>
            <w:vAlign w:val="center"/>
          </w:tcPr>
          <w:p w14:paraId="4871BB5A">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下限</w:t>
            </w:r>
          </w:p>
        </w:tc>
        <w:tc>
          <w:tcPr>
            <w:tcW w:w="373" w:type="pct"/>
            <w:vAlign w:val="center"/>
          </w:tcPr>
          <w:p w14:paraId="6297619E">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上限</w:t>
            </w:r>
          </w:p>
        </w:tc>
        <w:tc>
          <w:tcPr>
            <w:tcW w:w="475" w:type="pct"/>
            <w:vAlign w:val="center"/>
          </w:tcPr>
          <w:p w14:paraId="57244357">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下限</w:t>
            </w:r>
          </w:p>
        </w:tc>
        <w:tc>
          <w:tcPr>
            <w:tcW w:w="446" w:type="pct"/>
            <w:vAlign w:val="center"/>
          </w:tcPr>
          <w:p w14:paraId="43858C42">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下限</w:t>
            </w:r>
          </w:p>
        </w:tc>
      </w:tr>
      <w:tr w14:paraId="78989AC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00" w:type="pct"/>
            <w:vMerge w:val="restart"/>
            <w:vAlign w:val="center"/>
          </w:tcPr>
          <w:p w14:paraId="75A92D81">
            <w:pPr>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住宅</w:t>
            </w:r>
          </w:p>
        </w:tc>
        <w:tc>
          <w:tcPr>
            <w:tcW w:w="812" w:type="pct"/>
            <w:gridSpan w:val="2"/>
            <w:vMerge w:val="restart"/>
            <w:vAlign w:val="center"/>
          </w:tcPr>
          <w:p w14:paraId="1AD8F07C">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商品房</w:t>
            </w:r>
            <w:r>
              <w:rPr>
                <w:rFonts w:hint="eastAsia" w:asciiTheme="majorEastAsia" w:hAnsiTheme="majorEastAsia" w:eastAsiaTheme="majorEastAsia"/>
                <w:kern w:val="0"/>
                <w:sz w:val="21"/>
                <w:szCs w:val="21"/>
              </w:rPr>
              <w:t>、共有产权房</w:t>
            </w:r>
          </w:p>
        </w:tc>
        <w:tc>
          <w:tcPr>
            <w:tcW w:w="1058" w:type="pct"/>
            <w:vAlign w:val="center"/>
          </w:tcPr>
          <w:p w14:paraId="769EDAB6">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S建&gt;200</w:t>
            </w:r>
            <w:r>
              <w:rPr>
                <w:rFonts w:hint="eastAsia" w:asciiTheme="majorEastAsia" w:hAnsiTheme="majorEastAsia" w:eastAsiaTheme="majorEastAsia"/>
                <w:kern w:val="0"/>
                <w:sz w:val="21"/>
                <w:szCs w:val="21"/>
              </w:rPr>
              <w:t>m</w:t>
            </w:r>
            <w:r>
              <w:rPr>
                <w:rFonts w:asciiTheme="majorEastAsia" w:hAnsiTheme="majorEastAsia" w:eastAsiaTheme="majorEastAsia"/>
                <w:kern w:val="0"/>
                <w:sz w:val="21"/>
                <w:szCs w:val="21"/>
                <w:vertAlign w:val="superscript"/>
              </w:rPr>
              <w:t>2</w:t>
            </w:r>
          </w:p>
        </w:tc>
        <w:tc>
          <w:tcPr>
            <w:tcW w:w="1051" w:type="pct"/>
            <w:vAlign w:val="center"/>
          </w:tcPr>
          <w:p w14:paraId="2DBD8A3E">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车位/户</w:t>
            </w:r>
          </w:p>
        </w:tc>
        <w:tc>
          <w:tcPr>
            <w:tcW w:w="385" w:type="pct"/>
            <w:vAlign w:val="center"/>
          </w:tcPr>
          <w:p w14:paraId="371FE368">
            <w:pPr>
              <w:widowControl/>
              <w:jc w:val="center"/>
              <w:rPr>
                <w:rFonts w:asciiTheme="majorEastAsia" w:hAnsiTheme="majorEastAsia" w:eastAsiaTheme="majorEastAsia"/>
                <w:kern w:val="0"/>
                <w:sz w:val="21"/>
                <w:szCs w:val="21"/>
              </w:rPr>
            </w:pPr>
            <w:r>
              <w:rPr>
                <w:rFonts w:hint="eastAsia" w:asciiTheme="majorEastAsia" w:hAnsiTheme="majorEastAsia" w:eastAsiaTheme="majorEastAsia"/>
                <w:kern w:val="0"/>
                <w:sz w:val="21"/>
                <w:szCs w:val="21"/>
              </w:rPr>
              <w:t>1.</w:t>
            </w:r>
            <w:r>
              <w:rPr>
                <w:rFonts w:asciiTheme="majorEastAsia" w:hAnsiTheme="majorEastAsia" w:eastAsiaTheme="majorEastAsia"/>
                <w:kern w:val="0"/>
                <w:sz w:val="21"/>
                <w:szCs w:val="21"/>
              </w:rPr>
              <w:t>4</w:t>
            </w:r>
          </w:p>
        </w:tc>
        <w:tc>
          <w:tcPr>
            <w:tcW w:w="373" w:type="pct"/>
            <w:vAlign w:val="center"/>
          </w:tcPr>
          <w:p w14:paraId="6143D373">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1.6</w:t>
            </w:r>
          </w:p>
        </w:tc>
        <w:tc>
          <w:tcPr>
            <w:tcW w:w="475" w:type="pct"/>
            <w:vAlign w:val="center"/>
          </w:tcPr>
          <w:p w14:paraId="61E3F92F">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2.0</w:t>
            </w:r>
          </w:p>
        </w:tc>
        <w:tc>
          <w:tcPr>
            <w:tcW w:w="446" w:type="pct"/>
            <w:vAlign w:val="center"/>
          </w:tcPr>
          <w:p w14:paraId="16DC5E53">
            <w:pPr>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2</w:t>
            </w:r>
            <w:r>
              <w:rPr>
                <w:rFonts w:hint="eastAsia" w:asciiTheme="majorEastAsia" w:hAnsiTheme="majorEastAsia" w:eastAsiaTheme="majorEastAsia"/>
                <w:kern w:val="0"/>
                <w:sz w:val="21"/>
                <w:szCs w:val="21"/>
              </w:rPr>
              <w:t>.0</w:t>
            </w:r>
          </w:p>
        </w:tc>
      </w:tr>
      <w:tr w14:paraId="209297C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00" w:type="pct"/>
            <w:vMerge w:val="continue"/>
            <w:vAlign w:val="center"/>
          </w:tcPr>
          <w:p w14:paraId="085B82BA">
            <w:pPr>
              <w:jc w:val="center"/>
              <w:rPr>
                <w:rFonts w:asciiTheme="majorEastAsia" w:hAnsiTheme="majorEastAsia" w:eastAsiaTheme="majorEastAsia"/>
                <w:kern w:val="0"/>
                <w:sz w:val="21"/>
                <w:szCs w:val="21"/>
              </w:rPr>
            </w:pPr>
          </w:p>
        </w:tc>
        <w:tc>
          <w:tcPr>
            <w:tcW w:w="812" w:type="pct"/>
            <w:gridSpan w:val="2"/>
            <w:vMerge w:val="continue"/>
            <w:vAlign w:val="center"/>
          </w:tcPr>
          <w:p w14:paraId="6BD0347F">
            <w:pPr>
              <w:widowControl/>
              <w:jc w:val="center"/>
              <w:rPr>
                <w:rFonts w:asciiTheme="majorEastAsia" w:hAnsiTheme="majorEastAsia" w:eastAsiaTheme="majorEastAsia"/>
                <w:kern w:val="0"/>
                <w:sz w:val="21"/>
                <w:szCs w:val="21"/>
              </w:rPr>
            </w:pPr>
          </w:p>
        </w:tc>
        <w:tc>
          <w:tcPr>
            <w:tcW w:w="1058" w:type="pct"/>
            <w:vAlign w:val="center"/>
          </w:tcPr>
          <w:p w14:paraId="32C03AED">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144</w:t>
            </w:r>
            <w:r>
              <w:rPr>
                <w:rFonts w:hint="eastAsia" w:asciiTheme="majorEastAsia" w:hAnsiTheme="majorEastAsia" w:eastAsiaTheme="majorEastAsia"/>
                <w:kern w:val="0"/>
                <w:sz w:val="21"/>
                <w:szCs w:val="21"/>
              </w:rPr>
              <w:t xml:space="preserve"> m</w:t>
            </w:r>
            <w:r>
              <w:rPr>
                <w:rFonts w:asciiTheme="majorEastAsia" w:hAnsiTheme="majorEastAsia" w:eastAsiaTheme="majorEastAsia"/>
                <w:kern w:val="0"/>
                <w:sz w:val="21"/>
                <w:szCs w:val="21"/>
                <w:vertAlign w:val="superscript"/>
              </w:rPr>
              <w:t>2</w:t>
            </w:r>
            <w:r>
              <w:rPr>
                <w:rFonts w:asciiTheme="majorEastAsia" w:hAnsiTheme="majorEastAsia" w:eastAsiaTheme="majorEastAsia"/>
                <w:kern w:val="0"/>
                <w:sz w:val="21"/>
                <w:szCs w:val="21"/>
              </w:rPr>
              <w:t>&lt;S建≤200</w:t>
            </w:r>
            <w:r>
              <w:rPr>
                <w:rFonts w:hint="eastAsia" w:asciiTheme="majorEastAsia" w:hAnsiTheme="majorEastAsia" w:eastAsiaTheme="majorEastAsia"/>
                <w:kern w:val="0"/>
                <w:sz w:val="21"/>
                <w:szCs w:val="21"/>
              </w:rPr>
              <w:t xml:space="preserve"> m</w:t>
            </w:r>
            <w:r>
              <w:rPr>
                <w:rFonts w:asciiTheme="majorEastAsia" w:hAnsiTheme="majorEastAsia" w:eastAsiaTheme="majorEastAsia"/>
                <w:kern w:val="0"/>
                <w:sz w:val="21"/>
                <w:szCs w:val="21"/>
                <w:vertAlign w:val="superscript"/>
              </w:rPr>
              <w:t>2</w:t>
            </w:r>
          </w:p>
        </w:tc>
        <w:tc>
          <w:tcPr>
            <w:tcW w:w="1051" w:type="pct"/>
          </w:tcPr>
          <w:p w14:paraId="5B7CCBE4">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车位/户</w:t>
            </w:r>
          </w:p>
        </w:tc>
        <w:tc>
          <w:tcPr>
            <w:tcW w:w="385" w:type="pct"/>
            <w:vAlign w:val="center"/>
          </w:tcPr>
          <w:p w14:paraId="70F1D1F7">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1.2</w:t>
            </w:r>
          </w:p>
        </w:tc>
        <w:tc>
          <w:tcPr>
            <w:tcW w:w="373" w:type="pct"/>
            <w:vAlign w:val="center"/>
          </w:tcPr>
          <w:p w14:paraId="00F997C0">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1.4</w:t>
            </w:r>
          </w:p>
        </w:tc>
        <w:tc>
          <w:tcPr>
            <w:tcW w:w="475" w:type="pct"/>
            <w:vAlign w:val="center"/>
          </w:tcPr>
          <w:p w14:paraId="2B5B0F59">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1.5</w:t>
            </w:r>
          </w:p>
        </w:tc>
        <w:tc>
          <w:tcPr>
            <w:tcW w:w="446" w:type="pct"/>
            <w:vAlign w:val="center"/>
          </w:tcPr>
          <w:p w14:paraId="75ED92FA">
            <w:pPr>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1.5</w:t>
            </w:r>
          </w:p>
        </w:tc>
      </w:tr>
      <w:tr w14:paraId="3CA6AA0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00" w:type="pct"/>
            <w:vMerge w:val="continue"/>
            <w:vAlign w:val="center"/>
          </w:tcPr>
          <w:p w14:paraId="7106A139">
            <w:pPr>
              <w:jc w:val="center"/>
              <w:rPr>
                <w:rFonts w:asciiTheme="majorEastAsia" w:hAnsiTheme="majorEastAsia" w:eastAsiaTheme="majorEastAsia"/>
                <w:kern w:val="0"/>
                <w:sz w:val="21"/>
                <w:szCs w:val="21"/>
              </w:rPr>
            </w:pPr>
          </w:p>
        </w:tc>
        <w:tc>
          <w:tcPr>
            <w:tcW w:w="812" w:type="pct"/>
            <w:gridSpan w:val="2"/>
            <w:vMerge w:val="continue"/>
            <w:vAlign w:val="center"/>
          </w:tcPr>
          <w:p w14:paraId="7E9FBE55">
            <w:pPr>
              <w:widowControl/>
              <w:jc w:val="center"/>
              <w:rPr>
                <w:rFonts w:asciiTheme="majorEastAsia" w:hAnsiTheme="majorEastAsia" w:eastAsiaTheme="majorEastAsia"/>
                <w:kern w:val="0"/>
                <w:sz w:val="21"/>
                <w:szCs w:val="21"/>
              </w:rPr>
            </w:pPr>
          </w:p>
        </w:tc>
        <w:tc>
          <w:tcPr>
            <w:tcW w:w="1058" w:type="pct"/>
            <w:vAlign w:val="center"/>
          </w:tcPr>
          <w:p w14:paraId="0AD2CB00">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90</w:t>
            </w:r>
            <w:r>
              <w:rPr>
                <w:rFonts w:hint="eastAsia" w:asciiTheme="majorEastAsia" w:hAnsiTheme="majorEastAsia" w:eastAsiaTheme="majorEastAsia"/>
                <w:kern w:val="0"/>
                <w:sz w:val="21"/>
                <w:szCs w:val="21"/>
              </w:rPr>
              <w:t xml:space="preserve"> m</w:t>
            </w:r>
            <w:r>
              <w:rPr>
                <w:rFonts w:asciiTheme="majorEastAsia" w:hAnsiTheme="majorEastAsia" w:eastAsiaTheme="majorEastAsia"/>
                <w:kern w:val="0"/>
                <w:sz w:val="21"/>
                <w:szCs w:val="21"/>
                <w:vertAlign w:val="superscript"/>
              </w:rPr>
              <w:t>2</w:t>
            </w:r>
            <w:r>
              <w:rPr>
                <w:rFonts w:asciiTheme="majorEastAsia" w:hAnsiTheme="majorEastAsia" w:eastAsiaTheme="majorEastAsia"/>
                <w:kern w:val="0"/>
                <w:sz w:val="21"/>
                <w:szCs w:val="21"/>
              </w:rPr>
              <w:t>&lt;S建≤144</w:t>
            </w:r>
            <w:r>
              <w:rPr>
                <w:rFonts w:hint="eastAsia" w:asciiTheme="majorEastAsia" w:hAnsiTheme="majorEastAsia" w:eastAsiaTheme="majorEastAsia"/>
                <w:kern w:val="0"/>
                <w:sz w:val="21"/>
                <w:szCs w:val="21"/>
              </w:rPr>
              <w:t>m</w:t>
            </w:r>
            <w:r>
              <w:rPr>
                <w:rFonts w:asciiTheme="majorEastAsia" w:hAnsiTheme="majorEastAsia" w:eastAsiaTheme="majorEastAsia"/>
                <w:kern w:val="0"/>
                <w:sz w:val="21"/>
                <w:szCs w:val="21"/>
                <w:vertAlign w:val="superscript"/>
              </w:rPr>
              <w:t>2</w:t>
            </w:r>
          </w:p>
        </w:tc>
        <w:tc>
          <w:tcPr>
            <w:tcW w:w="1051" w:type="pct"/>
          </w:tcPr>
          <w:p w14:paraId="5E14553E">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车位/户</w:t>
            </w:r>
          </w:p>
        </w:tc>
        <w:tc>
          <w:tcPr>
            <w:tcW w:w="385" w:type="pct"/>
            <w:vAlign w:val="center"/>
          </w:tcPr>
          <w:p w14:paraId="6B4BE429">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1.0</w:t>
            </w:r>
          </w:p>
        </w:tc>
        <w:tc>
          <w:tcPr>
            <w:tcW w:w="373" w:type="pct"/>
            <w:vAlign w:val="center"/>
          </w:tcPr>
          <w:p w14:paraId="61A43048">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1.2</w:t>
            </w:r>
          </w:p>
        </w:tc>
        <w:tc>
          <w:tcPr>
            <w:tcW w:w="475" w:type="pct"/>
            <w:vAlign w:val="center"/>
          </w:tcPr>
          <w:p w14:paraId="293FEE1C">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1.2</w:t>
            </w:r>
          </w:p>
        </w:tc>
        <w:tc>
          <w:tcPr>
            <w:tcW w:w="446" w:type="pct"/>
            <w:vAlign w:val="center"/>
          </w:tcPr>
          <w:p w14:paraId="27250465">
            <w:pPr>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1.2</w:t>
            </w:r>
          </w:p>
        </w:tc>
      </w:tr>
      <w:tr w14:paraId="1856A86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00" w:type="pct"/>
            <w:vMerge w:val="continue"/>
            <w:vAlign w:val="center"/>
          </w:tcPr>
          <w:p w14:paraId="5D95BAC3">
            <w:pPr>
              <w:jc w:val="center"/>
              <w:rPr>
                <w:rFonts w:asciiTheme="majorEastAsia" w:hAnsiTheme="majorEastAsia" w:eastAsiaTheme="majorEastAsia"/>
                <w:kern w:val="0"/>
                <w:sz w:val="21"/>
                <w:szCs w:val="21"/>
              </w:rPr>
            </w:pPr>
          </w:p>
        </w:tc>
        <w:tc>
          <w:tcPr>
            <w:tcW w:w="812" w:type="pct"/>
            <w:gridSpan w:val="2"/>
            <w:vMerge w:val="continue"/>
            <w:vAlign w:val="center"/>
          </w:tcPr>
          <w:p w14:paraId="1B7E2637">
            <w:pPr>
              <w:widowControl/>
              <w:jc w:val="center"/>
              <w:rPr>
                <w:rFonts w:asciiTheme="majorEastAsia" w:hAnsiTheme="majorEastAsia" w:eastAsiaTheme="majorEastAsia"/>
                <w:kern w:val="0"/>
                <w:sz w:val="21"/>
                <w:szCs w:val="21"/>
              </w:rPr>
            </w:pPr>
          </w:p>
        </w:tc>
        <w:tc>
          <w:tcPr>
            <w:tcW w:w="1058" w:type="pct"/>
            <w:vAlign w:val="center"/>
          </w:tcPr>
          <w:p w14:paraId="47F66A95">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S建≤90</w:t>
            </w:r>
            <w:r>
              <w:rPr>
                <w:rFonts w:hint="eastAsia" w:asciiTheme="majorEastAsia" w:hAnsiTheme="majorEastAsia" w:eastAsiaTheme="majorEastAsia"/>
                <w:kern w:val="0"/>
                <w:sz w:val="21"/>
                <w:szCs w:val="21"/>
              </w:rPr>
              <w:t>m</w:t>
            </w:r>
            <w:r>
              <w:rPr>
                <w:rFonts w:asciiTheme="majorEastAsia" w:hAnsiTheme="majorEastAsia" w:eastAsiaTheme="majorEastAsia"/>
                <w:kern w:val="0"/>
                <w:sz w:val="21"/>
                <w:szCs w:val="21"/>
                <w:vertAlign w:val="superscript"/>
              </w:rPr>
              <w:t>2</w:t>
            </w:r>
          </w:p>
        </w:tc>
        <w:tc>
          <w:tcPr>
            <w:tcW w:w="1051" w:type="pct"/>
          </w:tcPr>
          <w:p w14:paraId="7052CE16">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车位/户</w:t>
            </w:r>
          </w:p>
        </w:tc>
        <w:tc>
          <w:tcPr>
            <w:tcW w:w="385" w:type="pct"/>
            <w:vAlign w:val="center"/>
          </w:tcPr>
          <w:p w14:paraId="31AD9F5C">
            <w:pPr>
              <w:widowControl/>
              <w:jc w:val="center"/>
              <w:rPr>
                <w:rFonts w:asciiTheme="majorEastAsia" w:hAnsiTheme="majorEastAsia" w:eastAsiaTheme="majorEastAsia"/>
                <w:kern w:val="0"/>
                <w:sz w:val="21"/>
                <w:szCs w:val="21"/>
              </w:rPr>
            </w:pPr>
            <w:r>
              <w:rPr>
                <w:rFonts w:hint="eastAsia" w:asciiTheme="majorEastAsia" w:hAnsiTheme="majorEastAsia" w:eastAsiaTheme="majorEastAsia"/>
                <w:kern w:val="0"/>
                <w:sz w:val="21"/>
                <w:szCs w:val="21"/>
              </w:rPr>
              <w:t>0</w:t>
            </w:r>
            <w:r>
              <w:rPr>
                <w:rFonts w:asciiTheme="majorEastAsia" w:hAnsiTheme="majorEastAsia" w:eastAsiaTheme="majorEastAsia"/>
                <w:kern w:val="0"/>
                <w:sz w:val="21"/>
                <w:szCs w:val="21"/>
              </w:rPr>
              <w:t>.8</w:t>
            </w:r>
          </w:p>
        </w:tc>
        <w:tc>
          <w:tcPr>
            <w:tcW w:w="373" w:type="pct"/>
            <w:vAlign w:val="center"/>
          </w:tcPr>
          <w:p w14:paraId="77567213">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1.0</w:t>
            </w:r>
          </w:p>
        </w:tc>
        <w:tc>
          <w:tcPr>
            <w:tcW w:w="475" w:type="pct"/>
            <w:vAlign w:val="center"/>
          </w:tcPr>
          <w:p w14:paraId="06194687">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1.0</w:t>
            </w:r>
          </w:p>
        </w:tc>
        <w:tc>
          <w:tcPr>
            <w:tcW w:w="446" w:type="pct"/>
            <w:vAlign w:val="center"/>
          </w:tcPr>
          <w:p w14:paraId="4FA8A020">
            <w:pPr>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 xml:space="preserve">1.0 </w:t>
            </w:r>
          </w:p>
        </w:tc>
      </w:tr>
      <w:tr w14:paraId="705F15F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00" w:type="pct"/>
            <w:vMerge w:val="continue"/>
            <w:vAlign w:val="center"/>
          </w:tcPr>
          <w:p w14:paraId="00E82DE3">
            <w:pPr>
              <w:jc w:val="center"/>
              <w:rPr>
                <w:rFonts w:asciiTheme="majorEastAsia" w:hAnsiTheme="majorEastAsia" w:eastAsiaTheme="majorEastAsia"/>
                <w:kern w:val="0"/>
                <w:sz w:val="21"/>
                <w:szCs w:val="21"/>
              </w:rPr>
            </w:pPr>
          </w:p>
        </w:tc>
        <w:tc>
          <w:tcPr>
            <w:tcW w:w="812" w:type="pct"/>
            <w:gridSpan w:val="2"/>
            <w:vMerge w:val="continue"/>
            <w:vAlign w:val="center"/>
          </w:tcPr>
          <w:p w14:paraId="6C7773CC">
            <w:pPr>
              <w:widowControl/>
              <w:jc w:val="center"/>
              <w:rPr>
                <w:rFonts w:asciiTheme="majorEastAsia" w:hAnsiTheme="majorEastAsia" w:eastAsiaTheme="majorEastAsia"/>
                <w:kern w:val="0"/>
                <w:sz w:val="21"/>
                <w:szCs w:val="21"/>
              </w:rPr>
            </w:pPr>
          </w:p>
        </w:tc>
        <w:tc>
          <w:tcPr>
            <w:tcW w:w="1058" w:type="pct"/>
            <w:vAlign w:val="center"/>
          </w:tcPr>
          <w:p w14:paraId="08FC626D">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未分户</w:t>
            </w:r>
          </w:p>
        </w:tc>
        <w:tc>
          <w:tcPr>
            <w:tcW w:w="1051" w:type="pct"/>
            <w:vAlign w:val="center"/>
          </w:tcPr>
          <w:p w14:paraId="26B1EF4F">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车位/100</w:t>
            </w:r>
            <w:r>
              <w:rPr>
                <w:rFonts w:hint="eastAsia" w:asciiTheme="majorEastAsia" w:hAnsiTheme="majorEastAsia" w:eastAsiaTheme="majorEastAsia"/>
                <w:kern w:val="0"/>
                <w:sz w:val="21"/>
                <w:szCs w:val="21"/>
              </w:rPr>
              <w:t xml:space="preserve"> m</w:t>
            </w:r>
            <w:r>
              <w:rPr>
                <w:rFonts w:asciiTheme="majorEastAsia" w:hAnsiTheme="majorEastAsia" w:eastAsiaTheme="majorEastAsia"/>
                <w:kern w:val="0"/>
                <w:sz w:val="21"/>
                <w:szCs w:val="21"/>
                <w:vertAlign w:val="superscript"/>
              </w:rPr>
              <w:t>2</w:t>
            </w:r>
            <w:r>
              <w:rPr>
                <w:rFonts w:asciiTheme="majorEastAsia" w:hAnsiTheme="majorEastAsia" w:eastAsiaTheme="majorEastAsia"/>
                <w:kern w:val="0"/>
                <w:sz w:val="21"/>
                <w:szCs w:val="21"/>
              </w:rPr>
              <w:t>建筑面积</w:t>
            </w:r>
          </w:p>
        </w:tc>
        <w:tc>
          <w:tcPr>
            <w:tcW w:w="385" w:type="pct"/>
            <w:vAlign w:val="center"/>
          </w:tcPr>
          <w:p w14:paraId="603B3347">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0.9</w:t>
            </w:r>
          </w:p>
        </w:tc>
        <w:tc>
          <w:tcPr>
            <w:tcW w:w="373" w:type="pct"/>
            <w:vAlign w:val="center"/>
          </w:tcPr>
          <w:p w14:paraId="72607F59">
            <w:pPr>
              <w:widowControl/>
              <w:jc w:val="center"/>
              <w:rPr>
                <w:rFonts w:asciiTheme="majorEastAsia" w:hAnsiTheme="majorEastAsia" w:eastAsiaTheme="majorEastAsia"/>
                <w:kern w:val="0"/>
                <w:sz w:val="21"/>
                <w:szCs w:val="21"/>
              </w:rPr>
            </w:pPr>
            <w:r>
              <w:rPr>
                <w:rFonts w:hint="eastAsia" w:asciiTheme="majorEastAsia" w:hAnsiTheme="majorEastAsia" w:eastAsiaTheme="majorEastAsia"/>
                <w:kern w:val="0"/>
                <w:sz w:val="21"/>
                <w:szCs w:val="21"/>
              </w:rPr>
              <w:t>1.</w:t>
            </w:r>
            <w:r>
              <w:rPr>
                <w:rFonts w:asciiTheme="majorEastAsia" w:hAnsiTheme="majorEastAsia" w:eastAsiaTheme="majorEastAsia"/>
                <w:kern w:val="0"/>
                <w:sz w:val="21"/>
                <w:szCs w:val="21"/>
              </w:rPr>
              <w:t>1</w:t>
            </w:r>
          </w:p>
        </w:tc>
        <w:tc>
          <w:tcPr>
            <w:tcW w:w="475" w:type="pct"/>
            <w:vAlign w:val="center"/>
          </w:tcPr>
          <w:p w14:paraId="0301BC00">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1.1</w:t>
            </w:r>
          </w:p>
        </w:tc>
        <w:tc>
          <w:tcPr>
            <w:tcW w:w="446" w:type="pct"/>
            <w:vAlign w:val="center"/>
          </w:tcPr>
          <w:p w14:paraId="0FB0E105">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1.1</w:t>
            </w:r>
          </w:p>
        </w:tc>
      </w:tr>
      <w:tr w14:paraId="21903DE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00" w:type="pct"/>
            <w:vMerge w:val="continue"/>
            <w:vAlign w:val="center"/>
          </w:tcPr>
          <w:p w14:paraId="2CD2CD23">
            <w:pPr>
              <w:jc w:val="center"/>
              <w:rPr>
                <w:rFonts w:asciiTheme="majorEastAsia" w:hAnsiTheme="majorEastAsia" w:eastAsiaTheme="majorEastAsia"/>
                <w:kern w:val="0"/>
                <w:sz w:val="21"/>
                <w:szCs w:val="21"/>
              </w:rPr>
            </w:pPr>
          </w:p>
        </w:tc>
        <w:tc>
          <w:tcPr>
            <w:tcW w:w="1870" w:type="pct"/>
            <w:gridSpan w:val="3"/>
            <w:vAlign w:val="center"/>
          </w:tcPr>
          <w:p w14:paraId="2A6754AC">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租赁</w:t>
            </w:r>
            <w:r>
              <w:rPr>
                <w:rFonts w:hint="eastAsia" w:asciiTheme="majorEastAsia" w:hAnsiTheme="majorEastAsia" w:eastAsiaTheme="majorEastAsia"/>
                <w:kern w:val="0"/>
                <w:sz w:val="21"/>
                <w:szCs w:val="21"/>
              </w:rPr>
              <w:t>住</w:t>
            </w:r>
            <w:r>
              <w:rPr>
                <w:rFonts w:asciiTheme="majorEastAsia" w:hAnsiTheme="majorEastAsia" w:eastAsiaTheme="majorEastAsia"/>
                <w:kern w:val="0"/>
                <w:sz w:val="21"/>
                <w:szCs w:val="21"/>
              </w:rPr>
              <w:t>房</w:t>
            </w:r>
            <w:r>
              <w:rPr>
                <w:rFonts w:hint="eastAsia" w:asciiTheme="majorEastAsia" w:hAnsiTheme="majorEastAsia" w:eastAsiaTheme="majorEastAsia"/>
                <w:kern w:val="0"/>
                <w:sz w:val="21"/>
                <w:szCs w:val="21"/>
              </w:rPr>
              <w:t>*</w:t>
            </w:r>
          </w:p>
        </w:tc>
        <w:tc>
          <w:tcPr>
            <w:tcW w:w="2730" w:type="pct"/>
            <w:gridSpan w:val="5"/>
            <w:vAlign w:val="center"/>
          </w:tcPr>
          <w:p w14:paraId="398D8039">
            <w:pPr>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按照商品房指标值执行</w:t>
            </w:r>
            <w:r>
              <w:rPr>
                <w:rFonts w:hint="eastAsia" w:asciiTheme="majorEastAsia" w:hAnsiTheme="majorEastAsia" w:eastAsiaTheme="majorEastAsia"/>
                <w:kern w:val="0"/>
                <w:sz w:val="21"/>
                <w:szCs w:val="21"/>
              </w:rPr>
              <w:t>；</w:t>
            </w:r>
          </w:p>
          <w:p w14:paraId="58F81264">
            <w:pPr>
              <w:jc w:val="center"/>
              <w:rPr>
                <w:rFonts w:asciiTheme="majorEastAsia" w:hAnsiTheme="majorEastAsia" w:eastAsiaTheme="majorEastAsia"/>
                <w:kern w:val="0"/>
                <w:sz w:val="21"/>
                <w:szCs w:val="21"/>
              </w:rPr>
            </w:pPr>
            <w:r>
              <w:rPr>
                <w:rFonts w:hint="eastAsia" w:asciiTheme="majorEastAsia" w:hAnsiTheme="majorEastAsia" w:eastAsiaTheme="majorEastAsia"/>
                <w:kern w:val="0"/>
                <w:sz w:val="21"/>
                <w:szCs w:val="21"/>
              </w:rPr>
              <w:t>其中，公共租赁住房按照商品房指标值的</w:t>
            </w:r>
            <w:r>
              <w:rPr>
                <w:rFonts w:asciiTheme="majorEastAsia" w:hAnsiTheme="majorEastAsia" w:eastAsiaTheme="majorEastAsia"/>
                <w:kern w:val="0"/>
                <w:sz w:val="21"/>
                <w:szCs w:val="21"/>
              </w:rPr>
              <w:t>7</w:t>
            </w:r>
            <w:r>
              <w:rPr>
                <w:rFonts w:hint="eastAsia" w:asciiTheme="majorEastAsia" w:hAnsiTheme="majorEastAsia" w:eastAsiaTheme="majorEastAsia"/>
                <w:kern w:val="0"/>
                <w:sz w:val="21"/>
                <w:szCs w:val="21"/>
              </w:rPr>
              <w:t>0%执行</w:t>
            </w:r>
          </w:p>
        </w:tc>
      </w:tr>
      <w:tr w14:paraId="04FF8B1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2270" w:type="pct"/>
            <w:gridSpan w:val="4"/>
            <w:vAlign w:val="center"/>
          </w:tcPr>
          <w:p w14:paraId="15480280">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酒店式公寓</w:t>
            </w:r>
          </w:p>
        </w:tc>
        <w:tc>
          <w:tcPr>
            <w:tcW w:w="1051" w:type="pct"/>
            <w:vAlign w:val="center"/>
          </w:tcPr>
          <w:p w14:paraId="1CB6383C">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车位/100</w:t>
            </w:r>
            <w:r>
              <w:rPr>
                <w:rFonts w:hint="eastAsia" w:asciiTheme="majorEastAsia" w:hAnsiTheme="majorEastAsia" w:eastAsiaTheme="majorEastAsia"/>
                <w:kern w:val="0"/>
                <w:sz w:val="21"/>
                <w:szCs w:val="21"/>
              </w:rPr>
              <w:t xml:space="preserve"> m</w:t>
            </w:r>
            <w:r>
              <w:rPr>
                <w:rFonts w:asciiTheme="majorEastAsia" w:hAnsiTheme="majorEastAsia" w:eastAsiaTheme="majorEastAsia"/>
                <w:kern w:val="0"/>
                <w:sz w:val="21"/>
                <w:szCs w:val="21"/>
                <w:vertAlign w:val="superscript"/>
              </w:rPr>
              <w:t>2</w:t>
            </w:r>
            <w:r>
              <w:rPr>
                <w:rFonts w:asciiTheme="majorEastAsia" w:hAnsiTheme="majorEastAsia" w:eastAsiaTheme="majorEastAsia"/>
                <w:kern w:val="0"/>
                <w:sz w:val="21"/>
                <w:szCs w:val="21"/>
              </w:rPr>
              <w:t>建筑面积</w:t>
            </w:r>
          </w:p>
        </w:tc>
        <w:tc>
          <w:tcPr>
            <w:tcW w:w="385" w:type="pct"/>
            <w:vAlign w:val="center"/>
          </w:tcPr>
          <w:p w14:paraId="1A90B7F7">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0.9</w:t>
            </w:r>
          </w:p>
        </w:tc>
        <w:tc>
          <w:tcPr>
            <w:tcW w:w="373" w:type="pct"/>
            <w:vAlign w:val="center"/>
          </w:tcPr>
          <w:p w14:paraId="4B1E42E3">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1.1</w:t>
            </w:r>
          </w:p>
        </w:tc>
        <w:tc>
          <w:tcPr>
            <w:tcW w:w="475" w:type="pct"/>
            <w:vAlign w:val="center"/>
          </w:tcPr>
          <w:p w14:paraId="4B791EFB">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1.1</w:t>
            </w:r>
          </w:p>
        </w:tc>
        <w:tc>
          <w:tcPr>
            <w:tcW w:w="446" w:type="pct"/>
            <w:vAlign w:val="center"/>
          </w:tcPr>
          <w:p w14:paraId="4C11249C">
            <w:pPr>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1.1</w:t>
            </w:r>
          </w:p>
        </w:tc>
      </w:tr>
      <w:tr w14:paraId="2A6B0B7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2270" w:type="pct"/>
            <w:gridSpan w:val="4"/>
            <w:vAlign w:val="center"/>
          </w:tcPr>
          <w:p w14:paraId="6D4D35A3">
            <w:pPr>
              <w:widowControl/>
              <w:jc w:val="center"/>
              <w:rPr>
                <w:rFonts w:asciiTheme="majorEastAsia" w:hAnsiTheme="majorEastAsia" w:eastAsiaTheme="majorEastAsia"/>
                <w:kern w:val="0"/>
                <w:sz w:val="21"/>
                <w:szCs w:val="21"/>
              </w:rPr>
            </w:pPr>
            <w:r>
              <w:rPr>
                <w:rFonts w:hint="eastAsia" w:asciiTheme="majorEastAsia" w:hAnsiTheme="majorEastAsia" w:eastAsiaTheme="majorEastAsia"/>
                <w:kern w:val="0"/>
                <w:sz w:val="21"/>
                <w:szCs w:val="21"/>
              </w:rPr>
              <w:t>集体宿舍</w:t>
            </w:r>
          </w:p>
        </w:tc>
        <w:tc>
          <w:tcPr>
            <w:tcW w:w="1051" w:type="pct"/>
            <w:vAlign w:val="center"/>
          </w:tcPr>
          <w:p w14:paraId="5292C54D">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车位/100</w:t>
            </w:r>
            <w:r>
              <w:rPr>
                <w:rFonts w:hint="eastAsia" w:asciiTheme="majorEastAsia" w:hAnsiTheme="majorEastAsia" w:eastAsiaTheme="majorEastAsia"/>
                <w:kern w:val="0"/>
                <w:sz w:val="21"/>
                <w:szCs w:val="21"/>
              </w:rPr>
              <w:t xml:space="preserve"> m</w:t>
            </w:r>
            <w:r>
              <w:rPr>
                <w:rFonts w:asciiTheme="majorEastAsia" w:hAnsiTheme="majorEastAsia" w:eastAsiaTheme="majorEastAsia"/>
                <w:kern w:val="0"/>
                <w:sz w:val="21"/>
                <w:szCs w:val="21"/>
                <w:vertAlign w:val="superscript"/>
              </w:rPr>
              <w:t>2</w:t>
            </w:r>
            <w:r>
              <w:rPr>
                <w:rFonts w:asciiTheme="majorEastAsia" w:hAnsiTheme="majorEastAsia" w:eastAsiaTheme="majorEastAsia"/>
                <w:kern w:val="0"/>
                <w:sz w:val="21"/>
                <w:szCs w:val="21"/>
              </w:rPr>
              <w:t>建筑面积</w:t>
            </w:r>
          </w:p>
        </w:tc>
        <w:tc>
          <w:tcPr>
            <w:tcW w:w="385" w:type="pct"/>
            <w:vAlign w:val="center"/>
          </w:tcPr>
          <w:p w14:paraId="7A29BDC9">
            <w:pPr>
              <w:widowControl/>
              <w:jc w:val="center"/>
              <w:rPr>
                <w:rFonts w:asciiTheme="majorEastAsia" w:hAnsiTheme="majorEastAsia" w:eastAsiaTheme="majorEastAsia"/>
                <w:kern w:val="0"/>
                <w:sz w:val="21"/>
                <w:szCs w:val="21"/>
              </w:rPr>
            </w:pPr>
            <w:r>
              <w:rPr>
                <w:rFonts w:hint="eastAsia" w:asciiTheme="majorEastAsia" w:hAnsiTheme="majorEastAsia" w:eastAsiaTheme="majorEastAsia"/>
                <w:kern w:val="0"/>
                <w:sz w:val="21"/>
                <w:szCs w:val="21"/>
              </w:rPr>
              <w:t>0</w:t>
            </w:r>
            <w:r>
              <w:rPr>
                <w:rFonts w:asciiTheme="majorEastAsia" w:hAnsiTheme="majorEastAsia" w:eastAsiaTheme="majorEastAsia"/>
                <w:kern w:val="0"/>
                <w:sz w:val="21"/>
                <w:szCs w:val="21"/>
              </w:rPr>
              <w:t>.3</w:t>
            </w:r>
          </w:p>
        </w:tc>
        <w:tc>
          <w:tcPr>
            <w:tcW w:w="373" w:type="pct"/>
            <w:vAlign w:val="center"/>
          </w:tcPr>
          <w:p w14:paraId="24A5BF53">
            <w:pPr>
              <w:widowControl/>
              <w:jc w:val="center"/>
              <w:rPr>
                <w:rFonts w:asciiTheme="majorEastAsia" w:hAnsiTheme="majorEastAsia" w:eastAsiaTheme="majorEastAsia"/>
                <w:kern w:val="0"/>
                <w:sz w:val="21"/>
                <w:szCs w:val="21"/>
              </w:rPr>
            </w:pPr>
            <w:r>
              <w:rPr>
                <w:rFonts w:hint="eastAsia" w:asciiTheme="majorEastAsia" w:hAnsiTheme="majorEastAsia" w:eastAsiaTheme="majorEastAsia"/>
                <w:kern w:val="0"/>
                <w:sz w:val="21"/>
                <w:szCs w:val="21"/>
              </w:rPr>
              <w:t>0</w:t>
            </w:r>
            <w:r>
              <w:rPr>
                <w:rFonts w:asciiTheme="majorEastAsia" w:hAnsiTheme="majorEastAsia" w:eastAsiaTheme="majorEastAsia"/>
                <w:kern w:val="0"/>
                <w:sz w:val="21"/>
                <w:szCs w:val="21"/>
              </w:rPr>
              <w:t>.4</w:t>
            </w:r>
          </w:p>
        </w:tc>
        <w:tc>
          <w:tcPr>
            <w:tcW w:w="475" w:type="pct"/>
            <w:vAlign w:val="center"/>
          </w:tcPr>
          <w:p w14:paraId="3E979951">
            <w:pPr>
              <w:widowControl/>
              <w:jc w:val="center"/>
              <w:rPr>
                <w:rFonts w:asciiTheme="majorEastAsia" w:hAnsiTheme="majorEastAsia" w:eastAsiaTheme="majorEastAsia"/>
                <w:kern w:val="0"/>
                <w:sz w:val="21"/>
                <w:szCs w:val="21"/>
              </w:rPr>
            </w:pPr>
            <w:r>
              <w:rPr>
                <w:rFonts w:hint="eastAsia" w:asciiTheme="majorEastAsia" w:hAnsiTheme="majorEastAsia" w:eastAsiaTheme="majorEastAsia"/>
                <w:kern w:val="0"/>
                <w:sz w:val="21"/>
                <w:szCs w:val="21"/>
              </w:rPr>
              <w:t>0</w:t>
            </w:r>
            <w:r>
              <w:rPr>
                <w:rFonts w:asciiTheme="majorEastAsia" w:hAnsiTheme="majorEastAsia" w:eastAsiaTheme="majorEastAsia"/>
                <w:kern w:val="0"/>
                <w:sz w:val="21"/>
                <w:szCs w:val="21"/>
              </w:rPr>
              <w:t>.4</w:t>
            </w:r>
          </w:p>
        </w:tc>
        <w:tc>
          <w:tcPr>
            <w:tcW w:w="446" w:type="pct"/>
            <w:vAlign w:val="center"/>
          </w:tcPr>
          <w:p w14:paraId="14547A3A">
            <w:pPr>
              <w:jc w:val="center"/>
              <w:rPr>
                <w:rFonts w:asciiTheme="majorEastAsia" w:hAnsiTheme="majorEastAsia" w:eastAsiaTheme="majorEastAsia"/>
                <w:kern w:val="0"/>
                <w:sz w:val="21"/>
                <w:szCs w:val="21"/>
              </w:rPr>
            </w:pPr>
            <w:r>
              <w:rPr>
                <w:rFonts w:hint="eastAsia" w:asciiTheme="majorEastAsia" w:hAnsiTheme="majorEastAsia" w:eastAsiaTheme="majorEastAsia"/>
                <w:kern w:val="0"/>
                <w:sz w:val="21"/>
                <w:szCs w:val="21"/>
              </w:rPr>
              <w:t>0</w:t>
            </w:r>
            <w:r>
              <w:rPr>
                <w:rFonts w:asciiTheme="majorEastAsia" w:hAnsiTheme="majorEastAsia" w:eastAsiaTheme="majorEastAsia"/>
                <w:kern w:val="0"/>
                <w:sz w:val="21"/>
                <w:szCs w:val="21"/>
              </w:rPr>
              <w:t>.4</w:t>
            </w:r>
          </w:p>
        </w:tc>
      </w:tr>
      <w:tr w14:paraId="41487D6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270" w:type="pct"/>
            <w:gridSpan w:val="4"/>
            <w:vAlign w:val="center"/>
          </w:tcPr>
          <w:p w14:paraId="5B09B900">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饭店、宾馆、培训中心</w:t>
            </w:r>
          </w:p>
        </w:tc>
        <w:tc>
          <w:tcPr>
            <w:tcW w:w="1051" w:type="pct"/>
            <w:vAlign w:val="center"/>
          </w:tcPr>
          <w:p w14:paraId="44A247FE">
            <w:pPr>
              <w:widowControl/>
              <w:jc w:val="center"/>
              <w:rPr>
                <w:rFonts w:asciiTheme="majorEastAsia" w:hAnsiTheme="majorEastAsia" w:eastAsiaTheme="majorEastAsia"/>
                <w:b/>
                <w:kern w:val="0"/>
                <w:sz w:val="21"/>
                <w:szCs w:val="21"/>
              </w:rPr>
            </w:pPr>
            <w:r>
              <w:rPr>
                <w:rFonts w:asciiTheme="majorEastAsia" w:hAnsiTheme="majorEastAsia" w:eastAsiaTheme="majorEastAsia"/>
                <w:kern w:val="0"/>
                <w:sz w:val="21"/>
                <w:szCs w:val="21"/>
              </w:rPr>
              <w:t>车位/客房</w:t>
            </w:r>
          </w:p>
        </w:tc>
        <w:tc>
          <w:tcPr>
            <w:tcW w:w="385" w:type="pct"/>
            <w:vAlign w:val="center"/>
          </w:tcPr>
          <w:p w14:paraId="6E363B58">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0.4</w:t>
            </w:r>
          </w:p>
        </w:tc>
        <w:tc>
          <w:tcPr>
            <w:tcW w:w="373" w:type="pct"/>
            <w:vAlign w:val="center"/>
          </w:tcPr>
          <w:p w14:paraId="191848D4">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0.5</w:t>
            </w:r>
          </w:p>
        </w:tc>
        <w:tc>
          <w:tcPr>
            <w:tcW w:w="475" w:type="pct"/>
            <w:vAlign w:val="center"/>
          </w:tcPr>
          <w:p w14:paraId="5C4D07C4">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0.5</w:t>
            </w:r>
          </w:p>
        </w:tc>
        <w:tc>
          <w:tcPr>
            <w:tcW w:w="446" w:type="pct"/>
            <w:vAlign w:val="center"/>
          </w:tcPr>
          <w:p w14:paraId="01DD14E4">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0.5</w:t>
            </w:r>
          </w:p>
        </w:tc>
      </w:tr>
      <w:tr w14:paraId="4C33D51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00" w:type="pct"/>
            <w:vMerge w:val="restart"/>
            <w:vAlign w:val="center"/>
          </w:tcPr>
          <w:p w14:paraId="12B39978">
            <w:pPr>
              <w:jc w:val="center"/>
              <w:rPr>
                <w:rFonts w:asciiTheme="majorEastAsia" w:hAnsiTheme="majorEastAsia" w:eastAsiaTheme="majorEastAsia"/>
                <w:b/>
                <w:kern w:val="0"/>
                <w:sz w:val="21"/>
                <w:szCs w:val="21"/>
              </w:rPr>
            </w:pPr>
            <w:r>
              <w:rPr>
                <w:rFonts w:asciiTheme="majorEastAsia" w:hAnsiTheme="majorEastAsia" w:eastAsiaTheme="majorEastAsia"/>
                <w:kern w:val="0"/>
                <w:sz w:val="21"/>
                <w:szCs w:val="21"/>
              </w:rPr>
              <w:t>办公</w:t>
            </w:r>
          </w:p>
        </w:tc>
        <w:tc>
          <w:tcPr>
            <w:tcW w:w="522" w:type="pct"/>
            <w:vMerge w:val="restart"/>
            <w:vAlign w:val="center"/>
          </w:tcPr>
          <w:p w14:paraId="1E4BF030">
            <w:pPr>
              <w:jc w:val="center"/>
              <w:rPr>
                <w:rFonts w:asciiTheme="majorEastAsia" w:hAnsiTheme="majorEastAsia" w:eastAsiaTheme="majorEastAsia"/>
                <w:b/>
                <w:kern w:val="0"/>
                <w:sz w:val="21"/>
                <w:szCs w:val="21"/>
              </w:rPr>
            </w:pPr>
            <w:r>
              <w:rPr>
                <w:rFonts w:asciiTheme="majorEastAsia" w:hAnsiTheme="majorEastAsia" w:eastAsiaTheme="majorEastAsia"/>
                <w:kern w:val="0"/>
                <w:sz w:val="21"/>
                <w:szCs w:val="21"/>
              </w:rPr>
              <w:t>行政办公</w:t>
            </w:r>
          </w:p>
        </w:tc>
        <w:tc>
          <w:tcPr>
            <w:tcW w:w="1348" w:type="pct"/>
            <w:gridSpan w:val="2"/>
            <w:vAlign w:val="center"/>
          </w:tcPr>
          <w:p w14:paraId="4FE07E08">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拥有执法、服务窗口的单位</w:t>
            </w:r>
          </w:p>
        </w:tc>
        <w:tc>
          <w:tcPr>
            <w:tcW w:w="1051" w:type="pct"/>
            <w:vMerge w:val="restart"/>
            <w:vAlign w:val="center"/>
          </w:tcPr>
          <w:p w14:paraId="550EAC35">
            <w:pPr>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车位/100</w:t>
            </w:r>
            <w:r>
              <w:rPr>
                <w:rFonts w:hint="eastAsia" w:asciiTheme="majorEastAsia" w:hAnsiTheme="majorEastAsia" w:eastAsiaTheme="majorEastAsia"/>
                <w:kern w:val="0"/>
                <w:sz w:val="21"/>
                <w:szCs w:val="21"/>
              </w:rPr>
              <w:t xml:space="preserve"> m</w:t>
            </w:r>
            <w:r>
              <w:rPr>
                <w:rFonts w:asciiTheme="majorEastAsia" w:hAnsiTheme="majorEastAsia" w:eastAsiaTheme="majorEastAsia"/>
                <w:kern w:val="0"/>
                <w:sz w:val="21"/>
                <w:szCs w:val="21"/>
                <w:vertAlign w:val="superscript"/>
              </w:rPr>
              <w:t>2</w:t>
            </w:r>
            <w:r>
              <w:rPr>
                <w:rFonts w:asciiTheme="majorEastAsia" w:hAnsiTheme="majorEastAsia" w:eastAsiaTheme="majorEastAsia"/>
                <w:kern w:val="0"/>
                <w:sz w:val="21"/>
                <w:szCs w:val="21"/>
              </w:rPr>
              <w:t>建筑面积</w:t>
            </w:r>
          </w:p>
        </w:tc>
        <w:tc>
          <w:tcPr>
            <w:tcW w:w="385" w:type="pct"/>
            <w:vAlign w:val="center"/>
          </w:tcPr>
          <w:p w14:paraId="2DECEBD6">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1.2</w:t>
            </w:r>
          </w:p>
        </w:tc>
        <w:tc>
          <w:tcPr>
            <w:tcW w:w="373" w:type="pct"/>
            <w:vAlign w:val="center"/>
          </w:tcPr>
          <w:p w14:paraId="1E61A2D2">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1.5</w:t>
            </w:r>
          </w:p>
        </w:tc>
        <w:tc>
          <w:tcPr>
            <w:tcW w:w="475" w:type="pct"/>
            <w:vAlign w:val="center"/>
          </w:tcPr>
          <w:p w14:paraId="40DFA986">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1.8</w:t>
            </w:r>
          </w:p>
        </w:tc>
        <w:tc>
          <w:tcPr>
            <w:tcW w:w="446" w:type="pct"/>
            <w:vAlign w:val="center"/>
          </w:tcPr>
          <w:p w14:paraId="467EE5E5">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1.8</w:t>
            </w:r>
          </w:p>
        </w:tc>
      </w:tr>
      <w:tr w14:paraId="5AB2BE5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00" w:type="pct"/>
            <w:vMerge w:val="continue"/>
            <w:vAlign w:val="center"/>
          </w:tcPr>
          <w:p w14:paraId="0D3606F3">
            <w:pPr>
              <w:widowControl/>
              <w:jc w:val="center"/>
              <w:rPr>
                <w:rFonts w:asciiTheme="majorEastAsia" w:hAnsiTheme="majorEastAsia" w:eastAsiaTheme="majorEastAsia"/>
                <w:kern w:val="0"/>
                <w:sz w:val="21"/>
                <w:szCs w:val="21"/>
              </w:rPr>
            </w:pPr>
          </w:p>
        </w:tc>
        <w:tc>
          <w:tcPr>
            <w:tcW w:w="522" w:type="pct"/>
            <w:vMerge w:val="continue"/>
            <w:vAlign w:val="center"/>
          </w:tcPr>
          <w:p w14:paraId="693EEE4B">
            <w:pPr>
              <w:widowControl/>
              <w:jc w:val="center"/>
              <w:rPr>
                <w:rFonts w:asciiTheme="majorEastAsia" w:hAnsiTheme="majorEastAsia" w:eastAsiaTheme="majorEastAsia"/>
                <w:b/>
                <w:kern w:val="0"/>
                <w:sz w:val="21"/>
                <w:szCs w:val="21"/>
              </w:rPr>
            </w:pPr>
          </w:p>
        </w:tc>
        <w:tc>
          <w:tcPr>
            <w:tcW w:w="1348" w:type="pct"/>
            <w:gridSpan w:val="2"/>
            <w:vAlign w:val="center"/>
          </w:tcPr>
          <w:p w14:paraId="239949F1">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其他</w:t>
            </w:r>
          </w:p>
        </w:tc>
        <w:tc>
          <w:tcPr>
            <w:tcW w:w="1051" w:type="pct"/>
            <w:vMerge w:val="continue"/>
            <w:vAlign w:val="center"/>
          </w:tcPr>
          <w:p w14:paraId="59145D77">
            <w:pPr>
              <w:widowControl/>
              <w:jc w:val="center"/>
              <w:rPr>
                <w:rFonts w:asciiTheme="majorEastAsia" w:hAnsiTheme="majorEastAsia" w:eastAsiaTheme="majorEastAsia"/>
                <w:b/>
                <w:kern w:val="0"/>
                <w:sz w:val="21"/>
                <w:szCs w:val="21"/>
              </w:rPr>
            </w:pPr>
          </w:p>
        </w:tc>
        <w:tc>
          <w:tcPr>
            <w:tcW w:w="385" w:type="pct"/>
            <w:vAlign w:val="center"/>
          </w:tcPr>
          <w:p w14:paraId="14B66A51">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0.8</w:t>
            </w:r>
          </w:p>
        </w:tc>
        <w:tc>
          <w:tcPr>
            <w:tcW w:w="373" w:type="pct"/>
            <w:vAlign w:val="center"/>
          </w:tcPr>
          <w:p w14:paraId="2776BD5C">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1.0</w:t>
            </w:r>
          </w:p>
        </w:tc>
        <w:tc>
          <w:tcPr>
            <w:tcW w:w="475" w:type="pct"/>
            <w:vAlign w:val="center"/>
          </w:tcPr>
          <w:p w14:paraId="222D1E46">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w:t>
            </w:r>
            <w:r>
              <w:rPr>
                <w:rFonts w:hint="eastAsia" w:asciiTheme="majorEastAsia" w:hAnsiTheme="majorEastAsia" w:eastAsiaTheme="majorEastAsia"/>
                <w:kern w:val="0"/>
                <w:sz w:val="21"/>
                <w:szCs w:val="21"/>
              </w:rPr>
              <w:t>.0</w:t>
            </w:r>
          </w:p>
        </w:tc>
        <w:tc>
          <w:tcPr>
            <w:tcW w:w="446" w:type="pct"/>
            <w:vAlign w:val="center"/>
          </w:tcPr>
          <w:p w14:paraId="139BC6B5">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1.2</w:t>
            </w:r>
          </w:p>
        </w:tc>
      </w:tr>
      <w:tr w14:paraId="78DF9F0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00" w:type="pct"/>
            <w:vMerge w:val="continue"/>
            <w:vAlign w:val="center"/>
          </w:tcPr>
          <w:p w14:paraId="752AD00D">
            <w:pPr>
              <w:jc w:val="center"/>
              <w:rPr>
                <w:rFonts w:asciiTheme="majorEastAsia" w:hAnsiTheme="majorEastAsia" w:eastAsiaTheme="majorEastAsia"/>
                <w:kern w:val="0"/>
                <w:sz w:val="21"/>
                <w:szCs w:val="21"/>
              </w:rPr>
            </w:pPr>
          </w:p>
        </w:tc>
        <w:tc>
          <w:tcPr>
            <w:tcW w:w="1870" w:type="pct"/>
            <w:gridSpan w:val="3"/>
            <w:vAlign w:val="center"/>
          </w:tcPr>
          <w:p w14:paraId="54F21E2A">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商务办公</w:t>
            </w:r>
            <w:r>
              <w:rPr>
                <w:rFonts w:hint="eastAsia" w:asciiTheme="majorEastAsia" w:hAnsiTheme="majorEastAsia" w:eastAsiaTheme="majorEastAsia"/>
                <w:kern w:val="0"/>
                <w:sz w:val="21"/>
                <w:szCs w:val="21"/>
              </w:rPr>
              <w:t>*</w:t>
            </w:r>
          </w:p>
        </w:tc>
        <w:tc>
          <w:tcPr>
            <w:tcW w:w="1051" w:type="pct"/>
            <w:vAlign w:val="center"/>
          </w:tcPr>
          <w:p w14:paraId="0719677C">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车位/100</w:t>
            </w:r>
            <w:r>
              <w:rPr>
                <w:rFonts w:hint="eastAsia" w:asciiTheme="majorEastAsia" w:hAnsiTheme="majorEastAsia" w:eastAsiaTheme="majorEastAsia"/>
                <w:kern w:val="0"/>
                <w:sz w:val="21"/>
                <w:szCs w:val="21"/>
              </w:rPr>
              <w:t xml:space="preserve"> m</w:t>
            </w:r>
            <w:r>
              <w:rPr>
                <w:rFonts w:asciiTheme="majorEastAsia" w:hAnsiTheme="majorEastAsia" w:eastAsiaTheme="majorEastAsia"/>
                <w:kern w:val="0"/>
                <w:sz w:val="21"/>
                <w:szCs w:val="21"/>
                <w:vertAlign w:val="superscript"/>
              </w:rPr>
              <w:t>2</w:t>
            </w:r>
            <w:r>
              <w:rPr>
                <w:rFonts w:asciiTheme="majorEastAsia" w:hAnsiTheme="majorEastAsia" w:eastAsiaTheme="majorEastAsia"/>
                <w:kern w:val="0"/>
                <w:sz w:val="21"/>
                <w:szCs w:val="21"/>
              </w:rPr>
              <w:t>建筑面积</w:t>
            </w:r>
          </w:p>
        </w:tc>
        <w:tc>
          <w:tcPr>
            <w:tcW w:w="385" w:type="pct"/>
            <w:vAlign w:val="center"/>
          </w:tcPr>
          <w:p w14:paraId="7CD9DD17">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0.8</w:t>
            </w:r>
          </w:p>
        </w:tc>
        <w:tc>
          <w:tcPr>
            <w:tcW w:w="373" w:type="pct"/>
            <w:vAlign w:val="center"/>
          </w:tcPr>
          <w:p w14:paraId="18EDE369">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1.0</w:t>
            </w:r>
          </w:p>
        </w:tc>
        <w:tc>
          <w:tcPr>
            <w:tcW w:w="475" w:type="pct"/>
            <w:vAlign w:val="center"/>
          </w:tcPr>
          <w:p w14:paraId="178A136D">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1.0</w:t>
            </w:r>
          </w:p>
        </w:tc>
        <w:tc>
          <w:tcPr>
            <w:tcW w:w="446" w:type="pct"/>
            <w:vAlign w:val="center"/>
          </w:tcPr>
          <w:p w14:paraId="3F8EA00A">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1.2</w:t>
            </w:r>
          </w:p>
        </w:tc>
      </w:tr>
      <w:tr w14:paraId="3B30297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00" w:type="pct"/>
            <w:vMerge w:val="continue"/>
            <w:vAlign w:val="center"/>
          </w:tcPr>
          <w:p w14:paraId="342FEE2F">
            <w:pPr>
              <w:jc w:val="center"/>
              <w:rPr>
                <w:rFonts w:asciiTheme="majorEastAsia" w:hAnsiTheme="majorEastAsia" w:eastAsiaTheme="majorEastAsia"/>
                <w:kern w:val="0"/>
                <w:sz w:val="21"/>
                <w:szCs w:val="21"/>
              </w:rPr>
            </w:pPr>
          </w:p>
        </w:tc>
        <w:tc>
          <w:tcPr>
            <w:tcW w:w="1870" w:type="pct"/>
            <w:gridSpan w:val="3"/>
            <w:vAlign w:val="center"/>
          </w:tcPr>
          <w:p w14:paraId="7F8F6E44">
            <w:pPr>
              <w:widowControl/>
              <w:jc w:val="center"/>
              <w:rPr>
                <w:rFonts w:asciiTheme="majorEastAsia" w:hAnsiTheme="majorEastAsia" w:eastAsiaTheme="majorEastAsia"/>
                <w:b/>
                <w:kern w:val="0"/>
                <w:sz w:val="21"/>
                <w:szCs w:val="21"/>
              </w:rPr>
            </w:pPr>
            <w:r>
              <w:rPr>
                <w:rFonts w:asciiTheme="majorEastAsia" w:hAnsiTheme="majorEastAsia" w:eastAsiaTheme="majorEastAsia"/>
                <w:kern w:val="0"/>
                <w:sz w:val="21"/>
                <w:szCs w:val="21"/>
              </w:rPr>
              <w:t>生产研发、科研设计、物流办公</w:t>
            </w:r>
          </w:p>
        </w:tc>
        <w:tc>
          <w:tcPr>
            <w:tcW w:w="1051" w:type="pct"/>
            <w:vAlign w:val="center"/>
          </w:tcPr>
          <w:p w14:paraId="3AFC79D1">
            <w:pPr>
              <w:widowControl/>
              <w:jc w:val="center"/>
              <w:rPr>
                <w:rFonts w:asciiTheme="majorEastAsia" w:hAnsiTheme="majorEastAsia" w:eastAsiaTheme="majorEastAsia"/>
                <w:b/>
                <w:kern w:val="0"/>
                <w:sz w:val="21"/>
                <w:szCs w:val="21"/>
              </w:rPr>
            </w:pPr>
            <w:r>
              <w:rPr>
                <w:rFonts w:asciiTheme="majorEastAsia" w:hAnsiTheme="majorEastAsia" w:eastAsiaTheme="majorEastAsia"/>
                <w:kern w:val="0"/>
                <w:sz w:val="21"/>
                <w:szCs w:val="21"/>
              </w:rPr>
              <w:t>车位/100</w:t>
            </w:r>
            <w:r>
              <w:rPr>
                <w:rFonts w:hint="eastAsia" w:asciiTheme="majorEastAsia" w:hAnsiTheme="majorEastAsia" w:eastAsiaTheme="majorEastAsia"/>
                <w:kern w:val="0"/>
                <w:sz w:val="21"/>
                <w:szCs w:val="21"/>
              </w:rPr>
              <w:t xml:space="preserve"> m</w:t>
            </w:r>
            <w:r>
              <w:rPr>
                <w:rFonts w:asciiTheme="majorEastAsia" w:hAnsiTheme="majorEastAsia" w:eastAsiaTheme="majorEastAsia"/>
                <w:kern w:val="0"/>
                <w:sz w:val="21"/>
                <w:szCs w:val="21"/>
                <w:vertAlign w:val="superscript"/>
              </w:rPr>
              <w:t>2</w:t>
            </w:r>
            <w:r>
              <w:rPr>
                <w:rFonts w:asciiTheme="majorEastAsia" w:hAnsiTheme="majorEastAsia" w:eastAsiaTheme="majorEastAsia"/>
                <w:kern w:val="0"/>
                <w:sz w:val="21"/>
                <w:szCs w:val="21"/>
              </w:rPr>
              <w:t>建筑面积</w:t>
            </w:r>
          </w:p>
        </w:tc>
        <w:tc>
          <w:tcPr>
            <w:tcW w:w="385" w:type="pct"/>
            <w:vAlign w:val="center"/>
          </w:tcPr>
          <w:p w14:paraId="62CEC668">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0.8</w:t>
            </w:r>
          </w:p>
        </w:tc>
        <w:tc>
          <w:tcPr>
            <w:tcW w:w="373" w:type="pct"/>
            <w:vAlign w:val="center"/>
          </w:tcPr>
          <w:p w14:paraId="14912C56">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1.0</w:t>
            </w:r>
          </w:p>
        </w:tc>
        <w:tc>
          <w:tcPr>
            <w:tcW w:w="475" w:type="pct"/>
            <w:vAlign w:val="center"/>
          </w:tcPr>
          <w:p w14:paraId="15EEF49C">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1.0</w:t>
            </w:r>
          </w:p>
        </w:tc>
        <w:tc>
          <w:tcPr>
            <w:tcW w:w="446" w:type="pct"/>
            <w:vAlign w:val="center"/>
          </w:tcPr>
          <w:p w14:paraId="618226D6">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1.2</w:t>
            </w:r>
          </w:p>
        </w:tc>
      </w:tr>
      <w:tr w14:paraId="4A1946B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00" w:type="pct"/>
            <w:vMerge w:val="continue"/>
            <w:vAlign w:val="center"/>
          </w:tcPr>
          <w:p w14:paraId="04FD066E">
            <w:pPr>
              <w:jc w:val="center"/>
              <w:rPr>
                <w:rFonts w:asciiTheme="majorEastAsia" w:hAnsiTheme="majorEastAsia" w:eastAsiaTheme="majorEastAsia"/>
                <w:kern w:val="0"/>
                <w:sz w:val="21"/>
                <w:szCs w:val="21"/>
              </w:rPr>
            </w:pPr>
          </w:p>
        </w:tc>
        <w:tc>
          <w:tcPr>
            <w:tcW w:w="1870" w:type="pct"/>
            <w:gridSpan w:val="3"/>
            <w:vAlign w:val="center"/>
          </w:tcPr>
          <w:p w14:paraId="7A2F506C">
            <w:pPr>
              <w:widowControl/>
              <w:jc w:val="center"/>
              <w:rPr>
                <w:rFonts w:asciiTheme="majorEastAsia" w:hAnsiTheme="majorEastAsia" w:eastAsiaTheme="majorEastAsia"/>
                <w:kern w:val="0"/>
                <w:sz w:val="21"/>
                <w:szCs w:val="21"/>
              </w:rPr>
            </w:pPr>
            <w:bookmarkStart w:id="21" w:name="_Hlk13834370"/>
            <w:r>
              <w:rPr>
                <w:rFonts w:asciiTheme="majorEastAsia" w:hAnsiTheme="majorEastAsia" w:eastAsiaTheme="majorEastAsia"/>
                <w:kern w:val="0"/>
                <w:sz w:val="21"/>
                <w:szCs w:val="21"/>
              </w:rPr>
              <w:t>配套</w:t>
            </w:r>
            <w:r>
              <w:rPr>
                <w:rFonts w:hint="eastAsia" w:asciiTheme="majorEastAsia" w:hAnsiTheme="majorEastAsia" w:eastAsiaTheme="majorEastAsia"/>
                <w:kern w:val="0"/>
                <w:sz w:val="21"/>
                <w:szCs w:val="21"/>
              </w:rPr>
              <w:t>办公</w:t>
            </w:r>
            <w:r>
              <w:rPr>
                <w:rFonts w:asciiTheme="majorEastAsia" w:hAnsiTheme="majorEastAsia" w:eastAsiaTheme="majorEastAsia"/>
                <w:kern w:val="0"/>
                <w:sz w:val="21"/>
                <w:szCs w:val="21"/>
              </w:rPr>
              <w:t>管理用房</w:t>
            </w:r>
            <w:bookmarkEnd w:id="21"/>
          </w:p>
        </w:tc>
        <w:tc>
          <w:tcPr>
            <w:tcW w:w="1051" w:type="pct"/>
            <w:vAlign w:val="center"/>
          </w:tcPr>
          <w:p w14:paraId="7AED453B">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车位/100</w:t>
            </w:r>
            <w:r>
              <w:rPr>
                <w:rFonts w:hint="eastAsia" w:asciiTheme="majorEastAsia" w:hAnsiTheme="majorEastAsia" w:eastAsiaTheme="majorEastAsia"/>
                <w:kern w:val="0"/>
                <w:sz w:val="21"/>
                <w:szCs w:val="21"/>
              </w:rPr>
              <w:t xml:space="preserve"> m</w:t>
            </w:r>
            <w:r>
              <w:rPr>
                <w:rFonts w:asciiTheme="majorEastAsia" w:hAnsiTheme="majorEastAsia" w:eastAsiaTheme="majorEastAsia"/>
                <w:kern w:val="0"/>
                <w:sz w:val="21"/>
                <w:szCs w:val="21"/>
                <w:vertAlign w:val="superscript"/>
              </w:rPr>
              <w:t>2</w:t>
            </w:r>
            <w:r>
              <w:rPr>
                <w:rFonts w:asciiTheme="majorEastAsia" w:hAnsiTheme="majorEastAsia" w:eastAsiaTheme="majorEastAsia"/>
                <w:kern w:val="0"/>
                <w:sz w:val="21"/>
                <w:szCs w:val="21"/>
              </w:rPr>
              <w:t>建筑面积</w:t>
            </w:r>
          </w:p>
        </w:tc>
        <w:tc>
          <w:tcPr>
            <w:tcW w:w="385" w:type="pct"/>
            <w:vAlign w:val="center"/>
          </w:tcPr>
          <w:p w14:paraId="776371F0">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0.6</w:t>
            </w:r>
          </w:p>
        </w:tc>
        <w:tc>
          <w:tcPr>
            <w:tcW w:w="373" w:type="pct"/>
            <w:vAlign w:val="center"/>
          </w:tcPr>
          <w:p w14:paraId="303126E1">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0.8</w:t>
            </w:r>
          </w:p>
        </w:tc>
        <w:tc>
          <w:tcPr>
            <w:tcW w:w="475" w:type="pct"/>
            <w:vAlign w:val="center"/>
          </w:tcPr>
          <w:p w14:paraId="0DEFDC96">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0.8</w:t>
            </w:r>
          </w:p>
        </w:tc>
        <w:tc>
          <w:tcPr>
            <w:tcW w:w="446" w:type="pct"/>
            <w:vAlign w:val="center"/>
          </w:tcPr>
          <w:p w14:paraId="63805BD7">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1.0</w:t>
            </w:r>
          </w:p>
        </w:tc>
      </w:tr>
      <w:tr w14:paraId="2321B8B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00" w:type="pct"/>
            <w:vMerge w:val="restart"/>
            <w:vAlign w:val="center"/>
          </w:tcPr>
          <w:p w14:paraId="2B043C16">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餐饮娱乐</w:t>
            </w:r>
          </w:p>
        </w:tc>
        <w:tc>
          <w:tcPr>
            <w:tcW w:w="1870" w:type="pct"/>
            <w:gridSpan w:val="3"/>
            <w:vAlign w:val="center"/>
          </w:tcPr>
          <w:p w14:paraId="7CDBF464">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独立餐饮娱乐</w:t>
            </w:r>
          </w:p>
        </w:tc>
        <w:tc>
          <w:tcPr>
            <w:tcW w:w="1051" w:type="pct"/>
            <w:vAlign w:val="center"/>
          </w:tcPr>
          <w:p w14:paraId="0FF2AAA4">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车位/100</w:t>
            </w:r>
            <w:r>
              <w:rPr>
                <w:rFonts w:hint="eastAsia" w:asciiTheme="majorEastAsia" w:hAnsiTheme="majorEastAsia" w:eastAsiaTheme="majorEastAsia"/>
                <w:kern w:val="0"/>
                <w:sz w:val="21"/>
                <w:szCs w:val="21"/>
              </w:rPr>
              <w:t xml:space="preserve"> m</w:t>
            </w:r>
            <w:r>
              <w:rPr>
                <w:rFonts w:asciiTheme="majorEastAsia" w:hAnsiTheme="majorEastAsia" w:eastAsiaTheme="majorEastAsia"/>
                <w:kern w:val="0"/>
                <w:sz w:val="21"/>
                <w:szCs w:val="21"/>
                <w:vertAlign w:val="superscript"/>
              </w:rPr>
              <w:t>2</w:t>
            </w:r>
            <w:r>
              <w:rPr>
                <w:rFonts w:asciiTheme="majorEastAsia" w:hAnsiTheme="majorEastAsia" w:eastAsiaTheme="majorEastAsia"/>
                <w:kern w:val="0"/>
                <w:sz w:val="21"/>
                <w:szCs w:val="21"/>
              </w:rPr>
              <w:t>建筑面积</w:t>
            </w:r>
          </w:p>
        </w:tc>
        <w:tc>
          <w:tcPr>
            <w:tcW w:w="385" w:type="pct"/>
            <w:vAlign w:val="center"/>
          </w:tcPr>
          <w:p w14:paraId="01E19F63">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2.0</w:t>
            </w:r>
          </w:p>
        </w:tc>
        <w:tc>
          <w:tcPr>
            <w:tcW w:w="373" w:type="pct"/>
            <w:vAlign w:val="center"/>
          </w:tcPr>
          <w:p w14:paraId="18BCA826">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2.5</w:t>
            </w:r>
          </w:p>
        </w:tc>
        <w:tc>
          <w:tcPr>
            <w:tcW w:w="475" w:type="pct"/>
            <w:vAlign w:val="center"/>
          </w:tcPr>
          <w:p w14:paraId="2E68D608">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2.5</w:t>
            </w:r>
          </w:p>
        </w:tc>
        <w:tc>
          <w:tcPr>
            <w:tcW w:w="446" w:type="pct"/>
            <w:vAlign w:val="center"/>
          </w:tcPr>
          <w:p w14:paraId="1DE3E06E">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3.0</w:t>
            </w:r>
          </w:p>
        </w:tc>
      </w:tr>
      <w:tr w14:paraId="4EEF613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00" w:type="pct"/>
            <w:vMerge w:val="continue"/>
            <w:vAlign w:val="center"/>
          </w:tcPr>
          <w:p w14:paraId="44EFEB37">
            <w:pPr>
              <w:widowControl/>
              <w:jc w:val="center"/>
              <w:rPr>
                <w:rFonts w:asciiTheme="majorEastAsia" w:hAnsiTheme="majorEastAsia" w:eastAsiaTheme="majorEastAsia"/>
                <w:kern w:val="0"/>
                <w:sz w:val="21"/>
                <w:szCs w:val="21"/>
              </w:rPr>
            </w:pPr>
          </w:p>
        </w:tc>
        <w:tc>
          <w:tcPr>
            <w:tcW w:w="1870" w:type="pct"/>
            <w:gridSpan w:val="3"/>
            <w:vAlign w:val="center"/>
          </w:tcPr>
          <w:p w14:paraId="39533391">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附属配套餐饮娱乐</w:t>
            </w:r>
          </w:p>
        </w:tc>
        <w:tc>
          <w:tcPr>
            <w:tcW w:w="2730" w:type="pct"/>
            <w:gridSpan w:val="5"/>
            <w:vAlign w:val="center"/>
          </w:tcPr>
          <w:p w14:paraId="5893FC75">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按独立餐饮、娱乐指标的80%执行</w:t>
            </w:r>
          </w:p>
        </w:tc>
      </w:tr>
      <w:tr w14:paraId="428B63C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00" w:type="pct"/>
            <w:vMerge w:val="restart"/>
            <w:vAlign w:val="center"/>
          </w:tcPr>
          <w:p w14:paraId="641B0310">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商业</w:t>
            </w:r>
          </w:p>
        </w:tc>
        <w:tc>
          <w:tcPr>
            <w:tcW w:w="1870" w:type="pct"/>
            <w:gridSpan w:val="3"/>
            <w:vAlign w:val="center"/>
          </w:tcPr>
          <w:p w14:paraId="1137E0AA">
            <w:pPr>
              <w:widowControl/>
              <w:jc w:val="center"/>
              <w:rPr>
                <w:rFonts w:asciiTheme="majorEastAsia" w:hAnsiTheme="majorEastAsia" w:eastAsiaTheme="majorEastAsia"/>
                <w:kern w:val="0"/>
                <w:sz w:val="21"/>
                <w:szCs w:val="21"/>
              </w:rPr>
            </w:pPr>
            <w:bookmarkStart w:id="22" w:name="_Hlk13760633"/>
            <w:r>
              <w:rPr>
                <w:rFonts w:hint="eastAsia" w:asciiTheme="majorEastAsia" w:hAnsiTheme="majorEastAsia" w:eastAsiaTheme="majorEastAsia"/>
                <w:kern w:val="0"/>
                <w:sz w:val="21"/>
                <w:szCs w:val="21"/>
              </w:rPr>
              <w:t>中小型</w:t>
            </w:r>
            <w:r>
              <w:rPr>
                <w:rFonts w:asciiTheme="majorEastAsia" w:hAnsiTheme="majorEastAsia" w:eastAsiaTheme="majorEastAsia"/>
                <w:kern w:val="0"/>
                <w:sz w:val="21"/>
                <w:szCs w:val="21"/>
              </w:rPr>
              <w:t>商业设施</w:t>
            </w:r>
            <w:r>
              <w:rPr>
                <w:rFonts w:hint="eastAsia" w:asciiTheme="majorEastAsia" w:hAnsiTheme="majorEastAsia" w:eastAsiaTheme="majorEastAsia"/>
                <w:kern w:val="0"/>
                <w:sz w:val="21"/>
                <w:szCs w:val="21"/>
              </w:rPr>
              <w:t>（5</w:t>
            </w:r>
            <w:r>
              <w:rPr>
                <w:rFonts w:asciiTheme="majorEastAsia" w:hAnsiTheme="majorEastAsia" w:eastAsiaTheme="majorEastAsia"/>
                <w:kern w:val="0"/>
                <w:sz w:val="21"/>
                <w:szCs w:val="21"/>
              </w:rPr>
              <w:t>0000m</w:t>
            </w:r>
            <w:r>
              <w:rPr>
                <w:rFonts w:asciiTheme="majorEastAsia" w:hAnsiTheme="majorEastAsia" w:eastAsiaTheme="majorEastAsia"/>
                <w:kern w:val="0"/>
                <w:sz w:val="21"/>
                <w:szCs w:val="21"/>
                <w:vertAlign w:val="superscript"/>
              </w:rPr>
              <w:t>2</w:t>
            </w:r>
            <w:r>
              <w:rPr>
                <w:rFonts w:hint="eastAsia" w:asciiTheme="majorEastAsia" w:hAnsiTheme="majorEastAsia" w:eastAsiaTheme="majorEastAsia"/>
                <w:kern w:val="0"/>
                <w:sz w:val="21"/>
                <w:szCs w:val="21"/>
              </w:rPr>
              <w:t>及以下）</w:t>
            </w:r>
            <w:bookmarkEnd w:id="22"/>
          </w:p>
        </w:tc>
        <w:tc>
          <w:tcPr>
            <w:tcW w:w="1051" w:type="pct"/>
            <w:vAlign w:val="center"/>
          </w:tcPr>
          <w:p w14:paraId="0DFBD162">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车位/100</w:t>
            </w:r>
            <w:r>
              <w:rPr>
                <w:rFonts w:hint="eastAsia" w:asciiTheme="majorEastAsia" w:hAnsiTheme="majorEastAsia" w:eastAsiaTheme="majorEastAsia"/>
                <w:kern w:val="0"/>
                <w:sz w:val="21"/>
                <w:szCs w:val="21"/>
              </w:rPr>
              <w:t xml:space="preserve"> m</w:t>
            </w:r>
            <w:r>
              <w:rPr>
                <w:rFonts w:asciiTheme="majorEastAsia" w:hAnsiTheme="majorEastAsia" w:eastAsiaTheme="majorEastAsia"/>
                <w:kern w:val="0"/>
                <w:sz w:val="21"/>
                <w:szCs w:val="21"/>
                <w:vertAlign w:val="superscript"/>
              </w:rPr>
              <w:t>2</w:t>
            </w:r>
            <w:r>
              <w:rPr>
                <w:rFonts w:asciiTheme="majorEastAsia" w:hAnsiTheme="majorEastAsia" w:eastAsiaTheme="majorEastAsia"/>
                <w:kern w:val="0"/>
                <w:sz w:val="21"/>
                <w:szCs w:val="21"/>
              </w:rPr>
              <w:t>建筑面积</w:t>
            </w:r>
          </w:p>
        </w:tc>
        <w:tc>
          <w:tcPr>
            <w:tcW w:w="385" w:type="pct"/>
            <w:vAlign w:val="center"/>
          </w:tcPr>
          <w:p w14:paraId="4D1A282D">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0.5</w:t>
            </w:r>
          </w:p>
        </w:tc>
        <w:tc>
          <w:tcPr>
            <w:tcW w:w="373" w:type="pct"/>
            <w:vAlign w:val="center"/>
          </w:tcPr>
          <w:p w14:paraId="75562330">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w:t>
            </w:r>
            <w:r>
              <w:rPr>
                <w:rFonts w:hint="eastAsia" w:asciiTheme="majorEastAsia" w:hAnsiTheme="majorEastAsia" w:eastAsiaTheme="majorEastAsia"/>
                <w:kern w:val="0"/>
                <w:sz w:val="21"/>
                <w:szCs w:val="21"/>
              </w:rPr>
              <w:t>7</w:t>
            </w:r>
          </w:p>
        </w:tc>
        <w:tc>
          <w:tcPr>
            <w:tcW w:w="475" w:type="pct"/>
            <w:vAlign w:val="center"/>
          </w:tcPr>
          <w:p w14:paraId="3FA60F56">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0.8</w:t>
            </w:r>
          </w:p>
        </w:tc>
        <w:tc>
          <w:tcPr>
            <w:tcW w:w="446" w:type="pct"/>
            <w:vAlign w:val="center"/>
          </w:tcPr>
          <w:p w14:paraId="55D3B4A2">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0.7</w:t>
            </w:r>
          </w:p>
        </w:tc>
      </w:tr>
      <w:tr w14:paraId="21C7FDD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00" w:type="pct"/>
            <w:vMerge w:val="continue"/>
            <w:vAlign w:val="center"/>
          </w:tcPr>
          <w:p w14:paraId="504C72BB">
            <w:pPr>
              <w:widowControl/>
              <w:jc w:val="center"/>
              <w:rPr>
                <w:rFonts w:asciiTheme="majorEastAsia" w:hAnsiTheme="majorEastAsia" w:eastAsiaTheme="majorEastAsia"/>
                <w:kern w:val="0"/>
                <w:sz w:val="21"/>
                <w:szCs w:val="21"/>
              </w:rPr>
            </w:pPr>
          </w:p>
        </w:tc>
        <w:tc>
          <w:tcPr>
            <w:tcW w:w="1870" w:type="pct"/>
            <w:gridSpan w:val="3"/>
            <w:vAlign w:val="center"/>
          </w:tcPr>
          <w:p w14:paraId="36BFD2CD">
            <w:pPr>
              <w:widowControl/>
              <w:jc w:val="center"/>
              <w:rPr>
                <w:rFonts w:asciiTheme="majorEastAsia" w:hAnsiTheme="majorEastAsia" w:eastAsiaTheme="majorEastAsia"/>
                <w:kern w:val="0"/>
                <w:sz w:val="21"/>
                <w:szCs w:val="21"/>
              </w:rPr>
            </w:pPr>
            <w:bookmarkStart w:id="23" w:name="_Hlk13760640"/>
            <w:r>
              <w:rPr>
                <w:rFonts w:hint="eastAsia" w:asciiTheme="majorEastAsia" w:hAnsiTheme="majorEastAsia" w:eastAsiaTheme="majorEastAsia"/>
                <w:kern w:val="0"/>
                <w:sz w:val="21"/>
                <w:szCs w:val="21"/>
              </w:rPr>
              <w:t>大型</w:t>
            </w:r>
            <w:r>
              <w:rPr>
                <w:rFonts w:asciiTheme="majorEastAsia" w:hAnsiTheme="majorEastAsia" w:eastAsiaTheme="majorEastAsia"/>
                <w:kern w:val="0"/>
                <w:sz w:val="21"/>
                <w:szCs w:val="21"/>
              </w:rPr>
              <w:t>商业设施</w:t>
            </w:r>
            <w:r>
              <w:rPr>
                <w:rFonts w:hint="eastAsia" w:asciiTheme="majorEastAsia" w:hAnsiTheme="majorEastAsia" w:eastAsiaTheme="majorEastAsia"/>
                <w:kern w:val="0"/>
                <w:sz w:val="21"/>
                <w:szCs w:val="21"/>
              </w:rPr>
              <w:t>（5</w:t>
            </w:r>
            <w:r>
              <w:rPr>
                <w:rFonts w:asciiTheme="majorEastAsia" w:hAnsiTheme="majorEastAsia" w:eastAsiaTheme="majorEastAsia"/>
                <w:kern w:val="0"/>
                <w:sz w:val="21"/>
                <w:szCs w:val="21"/>
              </w:rPr>
              <w:t>0000m</w:t>
            </w:r>
            <w:r>
              <w:rPr>
                <w:rFonts w:asciiTheme="majorEastAsia" w:hAnsiTheme="majorEastAsia" w:eastAsiaTheme="majorEastAsia"/>
                <w:kern w:val="0"/>
                <w:sz w:val="21"/>
                <w:szCs w:val="21"/>
                <w:vertAlign w:val="superscript"/>
              </w:rPr>
              <w:t>2</w:t>
            </w:r>
            <w:r>
              <w:rPr>
                <w:rFonts w:hint="eastAsia" w:asciiTheme="majorEastAsia" w:hAnsiTheme="majorEastAsia" w:eastAsiaTheme="majorEastAsia"/>
                <w:kern w:val="0"/>
                <w:sz w:val="21"/>
                <w:szCs w:val="21"/>
              </w:rPr>
              <w:t>以上）</w:t>
            </w:r>
            <w:bookmarkEnd w:id="23"/>
            <w:r>
              <w:rPr>
                <w:rFonts w:hint="eastAsia" w:asciiTheme="majorEastAsia" w:hAnsiTheme="majorEastAsia" w:eastAsiaTheme="majorEastAsia"/>
                <w:kern w:val="0"/>
                <w:sz w:val="21"/>
                <w:szCs w:val="21"/>
              </w:rPr>
              <w:t>、</w:t>
            </w:r>
            <w:r>
              <w:rPr>
                <w:rFonts w:asciiTheme="majorEastAsia" w:hAnsiTheme="majorEastAsia" w:eastAsiaTheme="majorEastAsia"/>
                <w:kern w:val="0"/>
                <w:sz w:val="21"/>
                <w:szCs w:val="21"/>
              </w:rPr>
              <w:t>大型超市</w:t>
            </w:r>
          </w:p>
        </w:tc>
        <w:tc>
          <w:tcPr>
            <w:tcW w:w="1051" w:type="pct"/>
            <w:vAlign w:val="center"/>
          </w:tcPr>
          <w:p w14:paraId="4A6E7449">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车位/100</w:t>
            </w:r>
            <w:r>
              <w:rPr>
                <w:rFonts w:hint="eastAsia" w:asciiTheme="majorEastAsia" w:hAnsiTheme="majorEastAsia" w:eastAsiaTheme="majorEastAsia"/>
                <w:kern w:val="0"/>
                <w:sz w:val="21"/>
                <w:szCs w:val="21"/>
              </w:rPr>
              <w:t xml:space="preserve"> m</w:t>
            </w:r>
            <w:r>
              <w:rPr>
                <w:rFonts w:asciiTheme="majorEastAsia" w:hAnsiTheme="majorEastAsia" w:eastAsiaTheme="majorEastAsia"/>
                <w:kern w:val="0"/>
                <w:sz w:val="21"/>
                <w:szCs w:val="21"/>
                <w:vertAlign w:val="superscript"/>
              </w:rPr>
              <w:t>2</w:t>
            </w:r>
            <w:r>
              <w:rPr>
                <w:rFonts w:asciiTheme="majorEastAsia" w:hAnsiTheme="majorEastAsia" w:eastAsiaTheme="majorEastAsia"/>
                <w:kern w:val="0"/>
                <w:sz w:val="21"/>
                <w:szCs w:val="21"/>
              </w:rPr>
              <w:t>建筑面积</w:t>
            </w:r>
          </w:p>
        </w:tc>
        <w:tc>
          <w:tcPr>
            <w:tcW w:w="385" w:type="pct"/>
            <w:vAlign w:val="center"/>
          </w:tcPr>
          <w:p w14:paraId="34B6BCA7">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w:t>
            </w:r>
            <w:r>
              <w:rPr>
                <w:rFonts w:hint="eastAsia" w:asciiTheme="majorEastAsia" w:hAnsiTheme="majorEastAsia" w:eastAsiaTheme="majorEastAsia"/>
                <w:kern w:val="0"/>
                <w:sz w:val="21"/>
                <w:szCs w:val="21"/>
              </w:rPr>
              <w:t>8</w:t>
            </w:r>
          </w:p>
        </w:tc>
        <w:tc>
          <w:tcPr>
            <w:tcW w:w="373" w:type="pct"/>
            <w:vAlign w:val="center"/>
          </w:tcPr>
          <w:p w14:paraId="30CB03CE">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w:t>
            </w:r>
            <w:r>
              <w:rPr>
                <w:rFonts w:hint="eastAsia" w:asciiTheme="majorEastAsia" w:hAnsiTheme="majorEastAsia" w:eastAsiaTheme="majorEastAsia"/>
                <w:kern w:val="0"/>
                <w:sz w:val="21"/>
                <w:szCs w:val="21"/>
              </w:rPr>
              <w:t>0</w:t>
            </w:r>
          </w:p>
        </w:tc>
        <w:tc>
          <w:tcPr>
            <w:tcW w:w="475" w:type="pct"/>
            <w:vAlign w:val="center"/>
          </w:tcPr>
          <w:p w14:paraId="787E8CE8">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1.1</w:t>
            </w:r>
          </w:p>
        </w:tc>
        <w:tc>
          <w:tcPr>
            <w:tcW w:w="446" w:type="pct"/>
            <w:vAlign w:val="center"/>
          </w:tcPr>
          <w:p w14:paraId="6393028C">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1.3</w:t>
            </w:r>
          </w:p>
        </w:tc>
      </w:tr>
      <w:tr w14:paraId="084844C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00" w:type="pct"/>
            <w:vMerge w:val="continue"/>
            <w:vAlign w:val="center"/>
          </w:tcPr>
          <w:p w14:paraId="568233FD">
            <w:pPr>
              <w:widowControl/>
              <w:jc w:val="center"/>
              <w:rPr>
                <w:rFonts w:asciiTheme="majorEastAsia" w:hAnsiTheme="majorEastAsia" w:eastAsiaTheme="majorEastAsia"/>
                <w:kern w:val="0"/>
                <w:sz w:val="21"/>
                <w:szCs w:val="21"/>
              </w:rPr>
            </w:pPr>
          </w:p>
        </w:tc>
        <w:tc>
          <w:tcPr>
            <w:tcW w:w="1870" w:type="pct"/>
            <w:gridSpan w:val="3"/>
            <w:vAlign w:val="center"/>
          </w:tcPr>
          <w:p w14:paraId="551232A7">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配套商业设施（小型超市、便利店、专卖店）</w:t>
            </w:r>
          </w:p>
        </w:tc>
        <w:tc>
          <w:tcPr>
            <w:tcW w:w="1051" w:type="pct"/>
            <w:vAlign w:val="center"/>
          </w:tcPr>
          <w:p w14:paraId="220F3E80">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车位/100</w:t>
            </w:r>
            <w:r>
              <w:rPr>
                <w:rFonts w:hint="eastAsia" w:asciiTheme="majorEastAsia" w:hAnsiTheme="majorEastAsia" w:eastAsiaTheme="majorEastAsia"/>
                <w:kern w:val="0"/>
                <w:sz w:val="21"/>
                <w:szCs w:val="21"/>
              </w:rPr>
              <w:t xml:space="preserve"> m</w:t>
            </w:r>
            <w:r>
              <w:rPr>
                <w:rFonts w:asciiTheme="majorEastAsia" w:hAnsiTheme="majorEastAsia" w:eastAsiaTheme="majorEastAsia"/>
                <w:kern w:val="0"/>
                <w:sz w:val="21"/>
                <w:szCs w:val="21"/>
                <w:vertAlign w:val="superscript"/>
              </w:rPr>
              <w:t>2</w:t>
            </w:r>
            <w:r>
              <w:rPr>
                <w:rFonts w:asciiTheme="majorEastAsia" w:hAnsiTheme="majorEastAsia" w:eastAsiaTheme="majorEastAsia"/>
                <w:kern w:val="0"/>
                <w:sz w:val="21"/>
                <w:szCs w:val="21"/>
              </w:rPr>
              <w:t>建筑面积</w:t>
            </w:r>
          </w:p>
        </w:tc>
        <w:tc>
          <w:tcPr>
            <w:tcW w:w="385" w:type="pct"/>
            <w:vAlign w:val="center"/>
          </w:tcPr>
          <w:p w14:paraId="0CC5F9AF">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0.25</w:t>
            </w:r>
          </w:p>
        </w:tc>
        <w:tc>
          <w:tcPr>
            <w:tcW w:w="373" w:type="pct"/>
            <w:vAlign w:val="center"/>
          </w:tcPr>
          <w:p w14:paraId="51971BAF">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w:t>
            </w:r>
            <w:r>
              <w:rPr>
                <w:rFonts w:hint="eastAsia" w:asciiTheme="majorEastAsia" w:hAnsiTheme="majorEastAsia" w:eastAsiaTheme="majorEastAsia"/>
                <w:kern w:val="0"/>
                <w:sz w:val="21"/>
                <w:szCs w:val="21"/>
              </w:rPr>
              <w:t>35</w:t>
            </w:r>
          </w:p>
        </w:tc>
        <w:tc>
          <w:tcPr>
            <w:tcW w:w="475" w:type="pct"/>
            <w:vAlign w:val="center"/>
          </w:tcPr>
          <w:p w14:paraId="10BAE543">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0.4</w:t>
            </w:r>
          </w:p>
        </w:tc>
        <w:tc>
          <w:tcPr>
            <w:tcW w:w="446" w:type="pct"/>
            <w:vAlign w:val="center"/>
          </w:tcPr>
          <w:p w14:paraId="1126470F">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0.6</w:t>
            </w:r>
          </w:p>
        </w:tc>
      </w:tr>
      <w:tr w14:paraId="4634F49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00" w:type="pct"/>
            <w:vMerge w:val="continue"/>
            <w:vAlign w:val="center"/>
          </w:tcPr>
          <w:p w14:paraId="062AC76D">
            <w:pPr>
              <w:widowControl/>
              <w:jc w:val="center"/>
              <w:rPr>
                <w:rFonts w:asciiTheme="majorEastAsia" w:hAnsiTheme="majorEastAsia" w:eastAsiaTheme="majorEastAsia"/>
                <w:kern w:val="0"/>
                <w:sz w:val="21"/>
                <w:szCs w:val="21"/>
              </w:rPr>
            </w:pPr>
          </w:p>
        </w:tc>
        <w:tc>
          <w:tcPr>
            <w:tcW w:w="1870" w:type="pct"/>
            <w:gridSpan w:val="3"/>
            <w:vAlign w:val="center"/>
          </w:tcPr>
          <w:p w14:paraId="2098EB55">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专业、批发市场</w:t>
            </w:r>
          </w:p>
        </w:tc>
        <w:tc>
          <w:tcPr>
            <w:tcW w:w="1051" w:type="pct"/>
            <w:vAlign w:val="center"/>
          </w:tcPr>
          <w:p w14:paraId="0B53B553">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车位/100</w:t>
            </w:r>
            <w:r>
              <w:rPr>
                <w:rFonts w:hint="eastAsia" w:asciiTheme="majorEastAsia" w:hAnsiTheme="majorEastAsia" w:eastAsiaTheme="majorEastAsia"/>
                <w:kern w:val="0"/>
                <w:sz w:val="21"/>
                <w:szCs w:val="21"/>
              </w:rPr>
              <w:t xml:space="preserve"> m</w:t>
            </w:r>
            <w:r>
              <w:rPr>
                <w:rFonts w:asciiTheme="majorEastAsia" w:hAnsiTheme="majorEastAsia" w:eastAsiaTheme="majorEastAsia"/>
                <w:kern w:val="0"/>
                <w:sz w:val="21"/>
                <w:szCs w:val="21"/>
                <w:vertAlign w:val="superscript"/>
              </w:rPr>
              <w:t>2</w:t>
            </w:r>
            <w:r>
              <w:rPr>
                <w:rFonts w:asciiTheme="majorEastAsia" w:hAnsiTheme="majorEastAsia" w:eastAsiaTheme="majorEastAsia"/>
                <w:kern w:val="0"/>
                <w:sz w:val="21"/>
                <w:szCs w:val="21"/>
              </w:rPr>
              <w:t>建筑面积</w:t>
            </w:r>
          </w:p>
        </w:tc>
        <w:tc>
          <w:tcPr>
            <w:tcW w:w="385" w:type="pct"/>
            <w:vAlign w:val="center"/>
          </w:tcPr>
          <w:p w14:paraId="11F84A4D">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0.5</w:t>
            </w:r>
          </w:p>
        </w:tc>
        <w:tc>
          <w:tcPr>
            <w:tcW w:w="373" w:type="pct"/>
            <w:vAlign w:val="center"/>
          </w:tcPr>
          <w:p w14:paraId="0C3E0DB7">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w:t>
            </w:r>
            <w:r>
              <w:rPr>
                <w:rFonts w:hint="eastAsia" w:asciiTheme="majorEastAsia" w:hAnsiTheme="majorEastAsia" w:eastAsiaTheme="majorEastAsia"/>
                <w:kern w:val="0"/>
                <w:sz w:val="21"/>
                <w:szCs w:val="21"/>
              </w:rPr>
              <w:t>7</w:t>
            </w:r>
          </w:p>
        </w:tc>
        <w:tc>
          <w:tcPr>
            <w:tcW w:w="475" w:type="pct"/>
            <w:vAlign w:val="center"/>
          </w:tcPr>
          <w:p w14:paraId="04B2E5C5">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0.9</w:t>
            </w:r>
          </w:p>
        </w:tc>
        <w:tc>
          <w:tcPr>
            <w:tcW w:w="446" w:type="pct"/>
            <w:vAlign w:val="center"/>
          </w:tcPr>
          <w:p w14:paraId="3F4D82C6">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1.0</w:t>
            </w:r>
          </w:p>
        </w:tc>
      </w:tr>
      <w:tr w14:paraId="4B1AE1F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00" w:type="pct"/>
            <w:vMerge w:val="restart"/>
            <w:vAlign w:val="center"/>
          </w:tcPr>
          <w:p w14:paraId="54222DF9">
            <w:pPr>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医</w:t>
            </w:r>
            <w:r>
              <w:rPr>
                <w:rFonts w:hint="eastAsia" w:asciiTheme="majorEastAsia" w:hAnsiTheme="majorEastAsia" w:eastAsiaTheme="majorEastAsia"/>
                <w:kern w:val="0"/>
                <w:sz w:val="21"/>
                <w:szCs w:val="21"/>
              </w:rPr>
              <w:t>疗卫生</w:t>
            </w:r>
          </w:p>
        </w:tc>
        <w:tc>
          <w:tcPr>
            <w:tcW w:w="522" w:type="pct"/>
            <w:vMerge w:val="restart"/>
            <w:vAlign w:val="center"/>
          </w:tcPr>
          <w:p w14:paraId="3B45029A">
            <w:pPr>
              <w:widowControl/>
              <w:jc w:val="center"/>
              <w:rPr>
                <w:rFonts w:asciiTheme="majorEastAsia" w:hAnsiTheme="majorEastAsia" w:eastAsiaTheme="majorEastAsia"/>
                <w:b/>
                <w:kern w:val="0"/>
                <w:sz w:val="21"/>
                <w:szCs w:val="21"/>
              </w:rPr>
            </w:pPr>
            <w:r>
              <w:rPr>
                <w:rFonts w:asciiTheme="majorEastAsia" w:hAnsiTheme="majorEastAsia" w:eastAsiaTheme="majorEastAsia"/>
                <w:kern w:val="0"/>
                <w:sz w:val="21"/>
                <w:szCs w:val="21"/>
              </w:rPr>
              <w:t>综合医院、专科医院</w:t>
            </w:r>
          </w:p>
        </w:tc>
        <w:tc>
          <w:tcPr>
            <w:tcW w:w="1348" w:type="pct"/>
            <w:gridSpan w:val="2"/>
            <w:vAlign w:val="center"/>
          </w:tcPr>
          <w:p w14:paraId="3282629E">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三级医院</w:t>
            </w:r>
          </w:p>
        </w:tc>
        <w:tc>
          <w:tcPr>
            <w:tcW w:w="1051" w:type="pct"/>
            <w:vAlign w:val="center"/>
          </w:tcPr>
          <w:p w14:paraId="4470D4E8">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车位/100</w:t>
            </w:r>
            <w:r>
              <w:rPr>
                <w:rFonts w:hint="eastAsia" w:asciiTheme="majorEastAsia" w:hAnsiTheme="majorEastAsia" w:eastAsiaTheme="majorEastAsia"/>
                <w:kern w:val="0"/>
                <w:sz w:val="21"/>
                <w:szCs w:val="21"/>
              </w:rPr>
              <w:t xml:space="preserve"> m</w:t>
            </w:r>
            <w:r>
              <w:rPr>
                <w:rFonts w:asciiTheme="majorEastAsia" w:hAnsiTheme="majorEastAsia" w:eastAsiaTheme="majorEastAsia"/>
                <w:kern w:val="0"/>
                <w:sz w:val="21"/>
                <w:szCs w:val="21"/>
                <w:vertAlign w:val="superscript"/>
              </w:rPr>
              <w:t>2</w:t>
            </w:r>
            <w:r>
              <w:rPr>
                <w:rFonts w:asciiTheme="majorEastAsia" w:hAnsiTheme="majorEastAsia" w:eastAsiaTheme="majorEastAsia"/>
                <w:kern w:val="0"/>
                <w:sz w:val="21"/>
                <w:szCs w:val="21"/>
              </w:rPr>
              <w:t>建筑面积</w:t>
            </w:r>
          </w:p>
        </w:tc>
        <w:tc>
          <w:tcPr>
            <w:tcW w:w="385" w:type="pct"/>
            <w:vAlign w:val="center"/>
          </w:tcPr>
          <w:p w14:paraId="5B566393">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1.0</w:t>
            </w:r>
          </w:p>
        </w:tc>
        <w:tc>
          <w:tcPr>
            <w:tcW w:w="373" w:type="pct"/>
            <w:vAlign w:val="center"/>
          </w:tcPr>
          <w:p w14:paraId="7D4FA7F8">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1.5</w:t>
            </w:r>
          </w:p>
        </w:tc>
        <w:tc>
          <w:tcPr>
            <w:tcW w:w="475" w:type="pct"/>
            <w:vAlign w:val="center"/>
          </w:tcPr>
          <w:p w14:paraId="06E613A2">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1.5</w:t>
            </w:r>
          </w:p>
        </w:tc>
        <w:tc>
          <w:tcPr>
            <w:tcW w:w="446" w:type="pct"/>
            <w:vAlign w:val="center"/>
          </w:tcPr>
          <w:p w14:paraId="1D3041F5">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1.5</w:t>
            </w:r>
          </w:p>
        </w:tc>
      </w:tr>
      <w:tr w14:paraId="66C28C8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00" w:type="pct"/>
            <w:vMerge w:val="continue"/>
            <w:vAlign w:val="center"/>
          </w:tcPr>
          <w:p w14:paraId="5DE7BDCD">
            <w:pPr>
              <w:widowControl/>
              <w:jc w:val="center"/>
              <w:rPr>
                <w:rFonts w:asciiTheme="majorEastAsia" w:hAnsiTheme="majorEastAsia" w:eastAsiaTheme="majorEastAsia"/>
                <w:kern w:val="0"/>
                <w:sz w:val="21"/>
                <w:szCs w:val="21"/>
              </w:rPr>
            </w:pPr>
          </w:p>
        </w:tc>
        <w:tc>
          <w:tcPr>
            <w:tcW w:w="522" w:type="pct"/>
            <w:vMerge w:val="continue"/>
            <w:vAlign w:val="center"/>
          </w:tcPr>
          <w:p w14:paraId="1605F625">
            <w:pPr>
              <w:widowControl/>
              <w:jc w:val="center"/>
              <w:rPr>
                <w:rFonts w:asciiTheme="majorEastAsia" w:hAnsiTheme="majorEastAsia" w:eastAsiaTheme="majorEastAsia"/>
                <w:b/>
                <w:kern w:val="0"/>
                <w:sz w:val="21"/>
                <w:szCs w:val="21"/>
              </w:rPr>
            </w:pPr>
          </w:p>
        </w:tc>
        <w:tc>
          <w:tcPr>
            <w:tcW w:w="1348" w:type="pct"/>
            <w:gridSpan w:val="2"/>
            <w:vAlign w:val="center"/>
          </w:tcPr>
          <w:p w14:paraId="4D7ADCDC">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二级及以下医院</w:t>
            </w:r>
          </w:p>
        </w:tc>
        <w:tc>
          <w:tcPr>
            <w:tcW w:w="1051" w:type="pct"/>
            <w:vAlign w:val="center"/>
          </w:tcPr>
          <w:p w14:paraId="4877535F">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车位/100</w:t>
            </w:r>
            <w:r>
              <w:rPr>
                <w:rFonts w:hint="eastAsia" w:asciiTheme="majorEastAsia" w:hAnsiTheme="majorEastAsia" w:eastAsiaTheme="majorEastAsia"/>
                <w:kern w:val="0"/>
                <w:sz w:val="21"/>
                <w:szCs w:val="21"/>
              </w:rPr>
              <w:t xml:space="preserve"> m</w:t>
            </w:r>
            <w:r>
              <w:rPr>
                <w:rFonts w:asciiTheme="majorEastAsia" w:hAnsiTheme="majorEastAsia" w:eastAsiaTheme="majorEastAsia"/>
                <w:kern w:val="0"/>
                <w:sz w:val="21"/>
                <w:szCs w:val="21"/>
                <w:vertAlign w:val="superscript"/>
              </w:rPr>
              <w:t>2</w:t>
            </w:r>
            <w:r>
              <w:rPr>
                <w:rFonts w:asciiTheme="majorEastAsia" w:hAnsiTheme="majorEastAsia" w:eastAsiaTheme="majorEastAsia"/>
                <w:kern w:val="0"/>
                <w:sz w:val="21"/>
                <w:szCs w:val="21"/>
              </w:rPr>
              <w:t>建筑面积</w:t>
            </w:r>
          </w:p>
        </w:tc>
        <w:tc>
          <w:tcPr>
            <w:tcW w:w="385" w:type="pct"/>
            <w:vAlign w:val="center"/>
          </w:tcPr>
          <w:p w14:paraId="04CCB6A4">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0.5</w:t>
            </w:r>
          </w:p>
        </w:tc>
        <w:tc>
          <w:tcPr>
            <w:tcW w:w="373" w:type="pct"/>
            <w:vAlign w:val="center"/>
          </w:tcPr>
          <w:p w14:paraId="4B1A2E89">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0.7</w:t>
            </w:r>
          </w:p>
        </w:tc>
        <w:tc>
          <w:tcPr>
            <w:tcW w:w="475" w:type="pct"/>
            <w:vAlign w:val="center"/>
          </w:tcPr>
          <w:p w14:paraId="2A5A980A">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0.7</w:t>
            </w:r>
          </w:p>
        </w:tc>
        <w:tc>
          <w:tcPr>
            <w:tcW w:w="446" w:type="pct"/>
            <w:vAlign w:val="center"/>
          </w:tcPr>
          <w:p w14:paraId="5E9DFF05">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1.0</w:t>
            </w:r>
          </w:p>
        </w:tc>
      </w:tr>
      <w:tr w14:paraId="49A210D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00" w:type="pct"/>
            <w:vMerge w:val="continue"/>
            <w:vAlign w:val="center"/>
          </w:tcPr>
          <w:p w14:paraId="6D752FB3">
            <w:pPr>
              <w:widowControl/>
              <w:jc w:val="center"/>
              <w:rPr>
                <w:rFonts w:asciiTheme="majorEastAsia" w:hAnsiTheme="majorEastAsia" w:eastAsiaTheme="majorEastAsia"/>
                <w:kern w:val="0"/>
                <w:sz w:val="21"/>
                <w:szCs w:val="21"/>
              </w:rPr>
            </w:pPr>
          </w:p>
        </w:tc>
        <w:tc>
          <w:tcPr>
            <w:tcW w:w="1870" w:type="pct"/>
            <w:gridSpan w:val="3"/>
            <w:vAlign w:val="center"/>
          </w:tcPr>
          <w:p w14:paraId="1B3FED02">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社区卫生防疫设施</w:t>
            </w:r>
          </w:p>
        </w:tc>
        <w:tc>
          <w:tcPr>
            <w:tcW w:w="1051" w:type="pct"/>
            <w:vAlign w:val="center"/>
          </w:tcPr>
          <w:p w14:paraId="67F27200">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车位/100</w:t>
            </w:r>
            <w:r>
              <w:rPr>
                <w:rFonts w:hint="eastAsia" w:asciiTheme="majorEastAsia" w:hAnsiTheme="majorEastAsia" w:eastAsiaTheme="majorEastAsia"/>
                <w:kern w:val="0"/>
                <w:sz w:val="21"/>
                <w:szCs w:val="21"/>
              </w:rPr>
              <w:t xml:space="preserve"> m</w:t>
            </w:r>
            <w:r>
              <w:rPr>
                <w:rFonts w:asciiTheme="majorEastAsia" w:hAnsiTheme="majorEastAsia" w:eastAsiaTheme="majorEastAsia"/>
                <w:kern w:val="0"/>
                <w:sz w:val="21"/>
                <w:szCs w:val="21"/>
                <w:vertAlign w:val="superscript"/>
              </w:rPr>
              <w:t>2</w:t>
            </w:r>
            <w:r>
              <w:rPr>
                <w:rFonts w:asciiTheme="majorEastAsia" w:hAnsiTheme="majorEastAsia" w:eastAsiaTheme="majorEastAsia"/>
                <w:kern w:val="0"/>
                <w:sz w:val="21"/>
                <w:szCs w:val="21"/>
              </w:rPr>
              <w:t>建筑面积</w:t>
            </w:r>
          </w:p>
        </w:tc>
        <w:tc>
          <w:tcPr>
            <w:tcW w:w="385" w:type="pct"/>
            <w:vAlign w:val="center"/>
          </w:tcPr>
          <w:p w14:paraId="20D565E9">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0.2</w:t>
            </w:r>
          </w:p>
        </w:tc>
        <w:tc>
          <w:tcPr>
            <w:tcW w:w="373" w:type="pct"/>
            <w:vAlign w:val="center"/>
          </w:tcPr>
          <w:p w14:paraId="0E886212">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0.3</w:t>
            </w:r>
          </w:p>
        </w:tc>
        <w:tc>
          <w:tcPr>
            <w:tcW w:w="475" w:type="pct"/>
            <w:vAlign w:val="center"/>
          </w:tcPr>
          <w:p w14:paraId="6C6D49A8">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0.3</w:t>
            </w:r>
          </w:p>
        </w:tc>
        <w:tc>
          <w:tcPr>
            <w:tcW w:w="446" w:type="pct"/>
            <w:vAlign w:val="center"/>
          </w:tcPr>
          <w:p w14:paraId="08895606">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0.5</w:t>
            </w:r>
          </w:p>
        </w:tc>
      </w:tr>
      <w:tr w14:paraId="08F24A4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00" w:type="pct"/>
            <w:vMerge w:val="continue"/>
            <w:vAlign w:val="center"/>
          </w:tcPr>
          <w:p w14:paraId="4001419D">
            <w:pPr>
              <w:widowControl/>
              <w:jc w:val="center"/>
              <w:rPr>
                <w:rFonts w:asciiTheme="majorEastAsia" w:hAnsiTheme="majorEastAsia" w:eastAsiaTheme="majorEastAsia"/>
                <w:kern w:val="0"/>
                <w:sz w:val="21"/>
                <w:szCs w:val="21"/>
              </w:rPr>
            </w:pPr>
          </w:p>
        </w:tc>
        <w:tc>
          <w:tcPr>
            <w:tcW w:w="1870" w:type="pct"/>
            <w:gridSpan w:val="3"/>
            <w:vAlign w:val="center"/>
          </w:tcPr>
          <w:p w14:paraId="5EEFDC4A">
            <w:pPr>
              <w:widowControl/>
              <w:jc w:val="center"/>
              <w:rPr>
                <w:rFonts w:asciiTheme="majorEastAsia" w:hAnsiTheme="majorEastAsia" w:eastAsiaTheme="majorEastAsia"/>
                <w:kern w:val="0"/>
                <w:sz w:val="21"/>
                <w:szCs w:val="21"/>
              </w:rPr>
            </w:pPr>
            <w:r>
              <w:rPr>
                <w:rFonts w:hint="eastAsia" w:asciiTheme="majorEastAsia" w:hAnsiTheme="majorEastAsia" w:eastAsiaTheme="majorEastAsia"/>
                <w:kern w:val="0"/>
                <w:sz w:val="21"/>
                <w:szCs w:val="21"/>
              </w:rPr>
              <w:t>疗养院</w:t>
            </w:r>
          </w:p>
        </w:tc>
        <w:tc>
          <w:tcPr>
            <w:tcW w:w="1051" w:type="pct"/>
            <w:vAlign w:val="center"/>
          </w:tcPr>
          <w:p w14:paraId="3B742BB3">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车位/100</w:t>
            </w:r>
            <w:r>
              <w:rPr>
                <w:rFonts w:hint="eastAsia" w:asciiTheme="majorEastAsia" w:hAnsiTheme="majorEastAsia" w:eastAsiaTheme="majorEastAsia"/>
                <w:kern w:val="0"/>
                <w:sz w:val="21"/>
                <w:szCs w:val="21"/>
              </w:rPr>
              <w:t xml:space="preserve"> m</w:t>
            </w:r>
            <w:r>
              <w:rPr>
                <w:rFonts w:asciiTheme="majorEastAsia" w:hAnsiTheme="majorEastAsia" w:eastAsiaTheme="majorEastAsia"/>
                <w:kern w:val="0"/>
                <w:sz w:val="21"/>
                <w:szCs w:val="21"/>
                <w:vertAlign w:val="superscript"/>
              </w:rPr>
              <w:t>2</w:t>
            </w:r>
            <w:r>
              <w:rPr>
                <w:rFonts w:asciiTheme="majorEastAsia" w:hAnsiTheme="majorEastAsia" w:eastAsiaTheme="majorEastAsia"/>
                <w:kern w:val="0"/>
                <w:sz w:val="21"/>
                <w:szCs w:val="21"/>
              </w:rPr>
              <w:t>建筑面积</w:t>
            </w:r>
          </w:p>
        </w:tc>
        <w:tc>
          <w:tcPr>
            <w:tcW w:w="385" w:type="pct"/>
            <w:vAlign w:val="center"/>
          </w:tcPr>
          <w:p w14:paraId="0F7847AD">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0.4</w:t>
            </w:r>
          </w:p>
        </w:tc>
        <w:tc>
          <w:tcPr>
            <w:tcW w:w="373" w:type="pct"/>
            <w:vAlign w:val="center"/>
          </w:tcPr>
          <w:p w14:paraId="71D56013">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0.6</w:t>
            </w:r>
          </w:p>
        </w:tc>
        <w:tc>
          <w:tcPr>
            <w:tcW w:w="475" w:type="pct"/>
            <w:vAlign w:val="center"/>
          </w:tcPr>
          <w:p w14:paraId="4C0BA607">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0.6</w:t>
            </w:r>
          </w:p>
        </w:tc>
        <w:tc>
          <w:tcPr>
            <w:tcW w:w="446" w:type="pct"/>
            <w:vAlign w:val="center"/>
          </w:tcPr>
          <w:p w14:paraId="53FFE509">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0.8</w:t>
            </w:r>
          </w:p>
        </w:tc>
      </w:tr>
      <w:tr w14:paraId="100FE84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270" w:type="pct"/>
            <w:gridSpan w:val="4"/>
            <w:vAlign w:val="center"/>
          </w:tcPr>
          <w:p w14:paraId="7DDEB0C6">
            <w:pPr>
              <w:widowControl/>
              <w:jc w:val="center"/>
              <w:rPr>
                <w:rFonts w:asciiTheme="majorEastAsia" w:hAnsiTheme="majorEastAsia" w:eastAsiaTheme="majorEastAsia"/>
                <w:kern w:val="0"/>
                <w:sz w:val="21"/>
                <w:szCs w:val="21"/>
              </w:rPr>
            </w:pPr>
            <w:bookmarkStart w:id="24" w:name="_Hlk13834393"/>
            <w:r>
              <w:rPr>
                <w:rFonts w:asciiTheme="majorEastAsia" w:hAnsiTheme="majorEastAsia" w:eastAsiaTheme="majorEastAsia"/>
                <w:kern w:val="0"/>
                <w:sz w:val="21"/>
                <w:szCs w:val="21"/>
              </w:rPr>
              <w:t>影剧院</w:t>
            </w:r>
            <w:bookmarkEnd w:id="24"/>
            <w:r>
              <w:rPr>
                <w:rFonts w:hint="eastAsia" w:asciiTheme="majorEastAsia" w:hAnsiTheme="majorEastAsia" w:eastAsiaTheme="majorEastAsia"/>
                <w:kern w:val="0"/>
                <w:sz w:val="21"/>
                <w:szCs w:val="21"/>
              </w:rPr>
              <w:t>*</w:t>
            </w:r>
          </w:p>
        </w:tc>
        <w:tc>
          <w:tcPr>
            <w:tcW w:w="1051" w:type="pct"/>
            <w:vAlign w:val="center"/>
          </w:tcPr>
          <w:p w14:paraId="58D39B44">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车位/100座位</w:t>
            </w:r>
          </w:p>
        </w:tc>
        <w:tc>
          <w:tcPr>
            <w:tcW w:w="385" w:type="pct"/>
            <w:vAlign w:val="center"/>
          </w:tcPr>
          <w:p w14:paraId="44DCE9A3">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1.5</w:t>
            </w:r>
          </w:p>
        </w:tc>
        <w:tc>
          <w:tcPr>
            <w:tcW w:w="373" w:type="pct"/>
            <w:vAlign w:val="center"/>
          </w:tcPr>
          <w:p w14:paraId="16388601">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3.0</w:t>
            </w:r>
          </w:p>
        </w:tc>
        <w:tc>
          <w:tcPr>
            <w:tcW w:w="475" w:type="pct"/>
            <w:vAlign w:val="center"/>
          </w:tcPr>
          <w:p w14:paraId="20AFD9BA">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3.0</w:t>
            </w:r>
          </w:p>
        </w:tc>
        <w:tc>
          <w:tcPr>
            <w:tcW w:w="446" w:type="pct"/>
            <w:vAlign w:val="center"/>
          </w:tcPr>
          <w:p w14:paraId="2DBABBD1">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3.0</w:t>
            </w:r>
          </w:p>
        </w:tc>
      </w:tr>
      <w:tr w14:paraId="6D2C87C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270" w:type="pct"/>
            <w:gridSpan w:val="4"/>
            <w:vAlign w:val="center"/>
          </w:tcPr>
          <w:p w14:paraId="111FCBD2">
            <w:pPr>
              <w:widowControl/>
              <w:jc w:val="center"/>
              <w:rPr>
                <w:rFonts w:asciiTheme="majorEastAsia" w:hAnsiTheme="majorEastAsia" w:eastAsiaTheme="majorEastAsia"/>
                <w:kern w:val="0"/>
                <w:sz w:val="21"/>
                <w:szCs w:val="21"/>
              </w:rPr>
            </w:pPr>
            <w:bookmarkStart w:id="25" w:name="_Hlk13834400"/>
            <w:r>
              <w:rPr>
                <w:rFonts w:asciiTheme="majorEastAsia" w:hAnsiTheme="majorEastAsia" w:eastAsiaTheme="majorEastAsia"/>
                <w:kern w:val="0"/>
                <w:sz w:val="21"/>
                <w:szCs w:val="21"/>
              </w:rPr>
              <w:t>博物馆、图书馆</w:t>
            </w:r>
            <w:bookmarkEnd w:id="25"/>
            <w:r>
              <w:rPr>
                <w:rFonts w:hint="eastAsia" w:asciiTheme="majorEastAsia" w:hAnsiTheme="majorEastAsia" w:eastAsiaTheme="majorEastAsia"/>
                <w:kern w:val="0"/>
                <w:sz w:val="21"/>
                <w:szCs w:val="21"/>
              </w:rPr>
              <w:t>*</w:t>
            </w:r>
          </w:p>
        </w:tc>
        <w:tc>
          <w:tcPr>
            <w:tcW w:w="1051" w:type="pct"/>
            <w:vAlign w:val="center"/>
          </w:tcPr>
          <w:p w14:paraId="41010EE3">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车位/100</w:t>
            </w:r>
            <w:r>
              <w:rPr>
                <w:rFonts w:hint="eastAsia" w:asciiTheme="majorEastAsia" w:hAnsiTheme="majorEastAsia" w:eastAsiaTheme="majorEastAsia"/>
                <w:kern w:val="0"/>
                <w:sz w:val="21"/>
                <w:szCs w:val="21"/>
              </w:rPr>
              <w:t xml:space="preserve"> m</w:t>
            </w:r>
            <w:r>
              <w:rPr>
                <w:rFonts w:asciiTheme="majorEastAsia" w:hAnsiTheme="majorEastAsia" w:eastAsiaTheme="majorEastAsia"/>
                <w:kern w:val="0"/>
                <w:sz w:val="21"/>
                <w:szCs w:val="21"/>
                <w:vertAlign w:val="superscript"/>
              </w:rPr>
              <w:t>2</w:t>
            </w:r>
            <w:r>
              <w:rPr>
                <w:rFonts w:asciiTheme="majorEastAsia" w:hAnsiTheme="majorEastAsia" w:eastAsiaTheme="majorEastAsia"/>
                <w:kern w:val="0"/>
                <w:sz w:val="21"/>
                <w:szCs w:val="21"/>
              </w:rPr>
              <w:t>建筑面积</w:t>
            </w:r>
          </w:p>
        </w:tc>
        <w:tc>
          <w:tcPr>
            <w:tcW w:w="385" w:type="pct"/>
            <w:vAlign w:val="center"/>
          </w:tcPr>
          <w:p w14:paraId="06E207C3">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0.4</w:t>
            </w:r>
          </w:p>
        </w:tc>
        <w:tc>
          <w:tcPr>
            <w:tcW w:w="373" w:type="pct"/>
            <w:vAlign w:val="center"/>
          </w:tcPr>
          <w:p w14:paraId="20CEF86C">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0.6</w:t>
            </w:r>
          </w:p>
        </w:tc>
        <w:tc>
          <w:tcPr>
            <w:tcW w:w="475" w:type="pct"/>
            <w:vAlign w:val="center"/>
          </w:tcPr>
          <w:p w14:paraId="3A18116A">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0.6</w:t>
            </w:r>
          </w:p>
        </w:tc>
        <w:tc>
          <w:tcPr>
            <w:tcW w:w="446" w:type="pct"/>
            <w:vAlign w:val="center"/>
          </w:tcPr>
          <w:p w14:paraId="3FAE9CA0">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0.6</w:t>
            </w:r>
          </w:p>
        </w:tc>
      </w:tr>
      <w:tr w14:paraId="1647867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270" w:type="pct"/>
            <w:gridSpan w:val="4"/>
            <w:vAlign w:val="center"/>
          </w:tcPr>
          <w:p w14:paraId="0823378C">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展览馆、会议中心</w:t>
            </w:r>
            <w:r>
              <w:rPr>
                <w:rFonts w:hint="eastAsia" w:asciiTheme="majorEastAsia" w:hAnsiTheme="majorEastAsia" w:eastAsiaTheme="majorEastAsia"/>
                <w:kern w:val="0"/>
                <w:sz w:val="21"/>
                <w:szCs w:val="21"/>
              </w:rPr>
              <w:t>*</w:t>
            </w:r>
          </w:p>
        </w:tc>
        <w:tc>
          <w:tcPr>
            <w:tcW w:w="1051" w:type="pct"/>
            <w:vAlign w:val="center"/>
          </w:tcPr>
          <w:p w14:paraId="7015E06E">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车位/100</w:t>
            </w:r>
            <w:r>
              <w:rPr>
                <w:rFonts w:hint="eastAsia" w:asciiTheme="majorEastAsia" w:hAnsiTheme="majorEastAsia" w:eastAsiaTheme="majorEastAsia"/>
                <w:kern w:val="0"/>
                <w:sz w:val="21"/>
                <w:szCs w:val="21"/>
              </w:rPr>
              <w:t xml:space="preserve"> m</w:t>
            </w:r>
            <w:r>
              <w:rPr>
                <w:rFonts w:asciiTheme="majorEastAsia" w:hAnsiTheme="majorEastAsia" w:eastAsiaTheme="majorEastAsia"/>
                <w:kern w:val="0"/>
                <w:sz w:val="21"/>
                <w:szCs w:val="21"/>
                <w:vertAlign w:val="superscript"/>
              </w:rPr>
              <w:t>2</w:t>
            </w:r>
            <w:r>
              <w:rPr>
                <w:rFonts w:asciiTheme="majorEastAsia" w:hAnsiTheme="majorEastAsia" w:eastAsiaTheme="majorEastAsia"/>
                <w:kern w:val="0"/>
                <w:sz w:val="21"/>
                <w:szCs w:val="21"/>
              </w:rPr>
              <w:t>建筑面积</w:t>
            </w:r>
          </w:p>
        </w:tc>
        <w:tc>
          <w:tcPr>
            <w:tcW w:w="385" w:type="pct"/>
            <w:vAlign w:val="center"/>
          </w:tcPr>
          <w:p w14:paraId="7605FB77">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0.4</w:t>
            </w:r>
          </w:p>
        </w:tc>
        <w:tc>
          <w:tcPr>
            <w:tcW w:w="373" w:type="pct"/>
            <w:vAlign w:val="center"/>
          </w:tcPr>
          <w:p w14:paraId="3F697EF4">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0.6</w:t>
            </w:r>
          </w:p>
        </w:tc>
        <w:tc>
          <w:tcPr>
            <w:tcW w:w="475" w:type="pct"/>
            <w:vAlign w:val="center"/>
          </w:tcPr>
          <w:p w14:paraId="7F4CB6B7">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0.6</w:t>
            </w:r>
          </w:p>
        </w:tc>
        <w:tc>
          <w:tcPr>
            <w:tcW w:w="446" w:type="pct"/>
            <w:vAlign w:val="center"/>
          </w:tcPr>
          <w:p w14:paraId="7800BBB0">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0.8</w:t>
            </w:r>
          </w:p>
        </w:tc>
      </w:tr>
      <w:tr w14:paraId="384E882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00" w:type="pct"/>
            <w:vMerge w:val="restart"/>
            <w:vAlign w:val="center"/>
          </w:tcPr>
          <w:p w14:paraId="668ABC5D">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体育场馆</w:t>
            </w:r>
            <w:r>
              <w:rPr>
                <w:rFonts w:hint="eastAsia" w:asciiTheme="majorEastAsia" w:hAnsiTheme="majorEastAsia" w:eastAsiaTheme="majorEastAsia"/>
                <w:kern w:val="0"/>
                <w:sz w:val="21"/>
                <w:szCs w:val="21"/>
              </w:rPr>
              <w:t>*</w:t>
            </w:r>
          </w:p>
        </w:tc>
        <w:tc>
          <w:tcPr>
            <w:tcW w:w="1870" w:type="pct"/>
            <w:gridSpan w:val="3"/>
            <w:vAlign w:val="center"/>
          </w:tcPr>
          <w:p w14:paraId="202AE0A6">
            <w:pPr>
              <w:widowControl/>
              <w:jc w:val="center"/>
              <w:rPr>
                <w:rFonts w:asciiTheme="majorEastAsia" w:hAnsiTheme="majorEastAsia" w:eastAsiaTheme="majorEastAsia"/>
                <w:kern w:val="0"/>
                <w:sz w:val="21"/>
                <w:szCs w:val="21"/>
              </w:rPr>
            </w:pPr>
            <w:r>
              <w:rPr>
                <w:rFonts w:hint="eastAsia" w:asciiTheme="majorEastAsia" w:hAnsiTheme="majorEastAsia" w:eastAsiaTheme="majorEastAsia"/>
                <w:kern w:val="0"/>
                <w:sz w:val="21"/>
                <w:szCs w:val="21"/>
              </w:rPr>
              <w:t>大型体育场馆</w:t>
            </w:r>
          </w:p>
        </w:tc>
        <w:tc>
          <w:tcPr>
            <w:tcW w:w="1051" w:type="pct"/>
            <w:vAlign w:val="center"/>
          </w:tcPr>
          <w:p w14:paraId="5295A5FC">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车位/100座位</w:t>
            </w:r>
          </w:p>
        </w:tc>
        <w:tc>
          <w:tcPr>
            <w:tcW w:w="385" w:type="pct"/>
            <w:vAlign w:val="center"/>
          </w:tcPr>
          <w:p w14:paraId="1C309AAA">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2.0</w:t>
            </w:r>
          </w:p>
        </w:tc>
        <w:tc>
          <w:tcPr>
            <w:tcW w:w="373" w:type="pct"/>
            <w:vAlign w:val="center"/>
          </w:tcPr>
          <w:p w14:paraId="540C8254">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3.0</w:t>
            </w:r>
          </w:p>
        </w:tc>
        <w:tc>
          <w:tcPr>
            <w:tcW w:w="475" w:type="pct"/>
            <w:vAlign w:val="center"/>
          </w:tcPr>
          <w:p w14:paraId="7510BB1D">
            <w:pPr>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3.0</w:t>
            </w:r>
          </w:p>
        </w:tc>
        <w:tc>
          <w:tcPr>
            <w:tcW w:w="446" w:type="pct"/>
            <w:vAlign w:val="center"/>
          </w:tcPr>
          <w:p w14:paraId="536B68C4">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4.0</w:t>
            </w:r>
          </w:p>
        </w:tc>
      </w:tr>
      <w:tr w14:paraId="612A4EB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00" w:type="pct"/>
            <w:vMerge w:val="continue"/>
            <w:vAlign w:val="center"/>
          </w:tcPr>
          <w:p w14:paraId="54120056">
            <w:pPr>
              <w:widowControl/>
              <w:jc w:val="center"/>
              <w:rPr>
                <w:rFonts w:asciiTheme="majorEastAsia" w:hAnsiTheme="majorEastAsia" w:eastAsiaTheme="majorEastAsia"/>
                <w:kern w:val="0"/>
                <w:sz w:val="21"/>
                <w:szCs w:val="21"/>
              </w:rPr>
            </w:pPr>
          </w:p>
        </w:tc>
        <w:tc>
          <w:tcPr>
            <w:tcW w:w="1870" w:type="pct"/>
            <w:gridSpan w:val="3"/>
            <w:vAlign w:val="center"/>
          </w:tcPr>
          <w:p w14:paraId="3E410505">
            <w:pPr>
              <w:widowControl/>
              <w:jc w:val="center"/>
              <w:rPr>
                <w:rFonts w:asciiTheme="majorEastAsia" w:hAnsiTheme="majorEastAsia" w:eastAsiaTheme="majorEastAsia"/>
                <w:kern w:val="0"/>
                <w:sz w:val="21"/>
                <w:szCs w:val="21"/>
              </w:rPr>
            </w:pPr>
            <w:r>
              <w:rPr>
                <w:rFonts w:hint="eastAsia" w:asciiTheme="majorEastAsia" w:hAnsiTheme="majorEastAsia" w:eastAsiaTheme="majorEastAsia"/>
                <w:kern w:val="0"/>
                <w:sz w:val="21"/>
                <w:szCs w:val="21"/>
              </w:rPr>
              <w:t>小型体育场馆</w:t>
            </w:r>
          </w:p>
        </w:tc>
        <w:tc>
          <w:tcPr>
            <w:tcW w:w="1051" w:type="pct"/>
            <w:vAlign w:val="center"/>
          </w:tcPr>
          <w:p w14:paraId="38CDE5EE">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车位/100</w:t>
            </w:r>
            <w:r>
              <w:rPr>
                <w:rFonts w:hint="eastAsia" w:asciiTheme="majorEastAsia" w:hAnsiTheme="majorEastAsia" w:eastAsiaTheme="majorEastAsia"/>
                <w:kern w:val="0"/>
                <w:sz w:val="21"/>
                <w:szCs w:val="21"/>
              </w:rPr>
              <w:t xml:space="preserve"> m</w:t>
            </w:r>
            <w:r>
              <w:rPr>
                <w:rFonts w:asciiTheme="majorEastAsia" w:hAnsiTheme="majorEastAsia" w:eastAsiaTheme="majorEastAsia"/>
                <w:kern w:val="0"/>
                <w:sz w:val="21"/>
                <w:szCs w:val="21"/>
                <w:vertAlign w:val="superscript"/>
              </w:rPr>
              <w:t>2</w:t>
            </w:r>
            <w:r>
              <w:rPr>
                <w:rFonts w:asciiTheme="majorEastAsia" w:hAnsiTheme="majorEastAsia" w:eastAsiaTheme="majorEastAsia"/>
                <w:kern w:val="0"/>
                <w:sz w:val="21"/>
                <w:szCs w:val="21"/>
              </w:rPr>
              <w:t>建筑面积</w:t>
            </w:r>
          </w:p>
        </w:tc>
        <w:tc>
          <w:tcPr>
            <w:tcW w:w="385" w:type="pct"/>
            <w:vAlign w:val="center"/>
          </w:tcPr>
          <w:p w14:paraId="0A8FB228">
            <w:pPr>
              <w:widowControl/>
              <w:jc w:val="center"/>
              <w:rPr>
                <w:rFonts w:asciiTheme="majorEastAsia" w:hAnsiTheme="majorEastAsia" w:eastAsiaTheme="majorEastAsia"/>
                <w:kern w:val="0"/>
                <w:sz w:val="21"/>
                <w:szCs w:val="21"/>
              </w:rPr>
            </w:pPr>
            <w:r>
              <w:rPr>
                <w:rFonts w:hint="eastAsia" w:asciiTheme="majorEastAsia" w:hAnsiTheme="majorEastAsia" w:eastAsiaTheme="majorEastAsia"/>
                <w:kern w:val="0"/>
                <w:sz w:val="21"/>
                <w:szCs w:val="21"/>
              </w:rPr>
              <w:t>0.8</w:t>
            </w:r>
          </w:p>
        </w:tc>
        <w:tc>
          <w:tcPr>
            <w:tcW w:w="373" w:type="pct"/>
            <w:vAlign w:val="center"/>
          </w:tcPr>
          <w:p w14:paraId="6A74C2A2">
            <w:pPr>
              <w:widowControl/>
              <w:jc w:val="center"/>
              <w:rPr>
                <w:rFonts w:asciiTheme="majorEastAsia" w:hAnsiTheme="majorEastAsia" w:eastAsiaTheme="majorEastAsia"/>
                <w:kern w:val="0"/>
                <w:sz w:val="21"/>
                <w:szCs w:val="21"/>
              </w:rPr>
            </w:pPr>
            <w:r>
              <w:rPr>
                <w:rFonts w:hint="eastAsia" w:asciiTheme="majorEastAsia" w:hAnsiTheme="majorEastAsia" w:eastAsiaTheme="majorEastAsia"/>
                <w:kern w:val="0"/>
                <w:sz w:val="21"/>
                <w:szCs w:val="21"/>
              </w:rPr>
              <w:t>1.0</w:t>
            </w:r>
          </w:p>
        </w:tc>
        <w:tc>
          <w:tcPr>
            <w:tcW w:w="475" w:type="pct"/>
            <w:vAlign w:val="center"/>
          </w:tcPr>
          <w:p w14:paraId="11844EF6">
            <w:pPr>
              <w:jc w:val="center"/>
              <w:rPr>
                <w:rFonts w:asciiTheme="majorEastAsia" w:hAnsiTheme="majorEastAsia" w:eastAsiaTheme="majorEastAsia"/>
                <w:kern w:val="0"/>
                <w:sz w:val="21"/>
                <w:szCs w:val="21"/>
              </w:rPr>
            </w:pPr>
            <w:r>
              <w:rPr>
                <w:rFonts w:hint="eastAsia" w:asciiTheme="majorEastAsia" w:hAnsiTheme="majorEastAsia" w:eastAsiaTheme="majorEastAsia"/>
                <w:kern w:val="0"/>
                <w:sz w:val="21"/>
                <w:szCs w:val="21"/>
              </w:rPr>
              <w:t>1.2</w:t>
            </w:r>
          </w:p>
        </w:tc>
        <w:tc>
          <w:tcPr>
            <w:tcW w:w="446" w:type="pct"/>
            <w:vAlign w:val="center"/>
          </w:tcPr>
          <w:p w14:paraId="4994DE5F">
            <w:pPr>
              <w:widowControl/>
              <w:jc w:val="center"/>
              <w:rPr>
                <w:rFonts w:asciiTheme="majorEastAsia" w:hAnsiTheme="majorEastAsia" w:eastAsiaTheme="majorEastAsia"/>
                <w:kern w:val="0"/>
                <w:sz w:val="21"/>
                <w:szCs w:val="21"/>
              </w:rPr>
            </w:pPr>
            <w:r>
              <w:rPr>
                <w:rFonts w:hint="eastAsia" w:asciiTheme="majorEastAsia" w:hAnsiTheme="majorEastAsia" w:eastAsiaTheme="majorEastAsia"/>
                <w:kern w:val="0"/>
                <w:sz w:val="21"/>
                <w:szCs w:val="21"/>
              </w:rPr>
              <w:t>1.2</w:t>
            </w:r>
          </w:p>
        </w:tc>
      </w:tr>
      <w:tr w14:paraId="4A9640E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00" w:type="pct"/>
            <w:vMerge w:val="restart"/>
            <w:vAlign w:val="center"/>
          </w:tcPr>
          <w:p w14:paraId="2BE2A01D">
            <w:pPr>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学校</w:t>
            </w:r>
          </w:p>
        </w:tc>
        <w:tc>
          <w:tcPr>
            <w:tcW w:w="522" w:type="pct"/>
            <w:vMerge w:val="restart"/>
            <w:vAlign w:val="center"/>
          </w:tcPr>
          <w:p w14:paraId="173A9059">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教工停车位</w:t>
            </w:r>
          </w:p>
        </w:tc>
        <w:tc>
          <w:tcPr>
            <w:tcW w:w="1348" w:type="pct"/>
            <w:gridSpan w:val="2"/>
            <w:vAlign w:val="center"/>
          </w:tcPr>
          <w:p w14:paraId="60A414A2">
            <w:pPr>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中小学、幼儿园</w:t>
            </w:r>
          </w:p>
        </w:tc>
        <w:tc>
          <w:tcPr>
            <w:tcW w:w="1051" w:type="pct"/>
            <w:vMerge w:val="restart"/>
            <w:vAlign w:val="center"/>
          </w:tcPr>
          <w:p w14:paraId="3DDF63CA">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车位/100教工</w:t>
            </w:r>
          </w:p>
        </w:tc>
        <w:tc>
          <w:tcPr>
            <w:tcW w:w="385" w:type="pct"/>
            <w:vAlign w:val="center"/>
          </w:tcPr>
          <w:p w14:paraId="39A87C1A">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10</w:t>
            </w:r>
          </w:p>
        </w:tc>
        <w:tc>
          <w:tcPr>
            <w:tcW w:w="373" w:type="pct"/>
            <w:vAlign w:val="center"/>
          </w:tcPr>
          <w:p w14:paraId="636BADCA">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20</w:t>
            </w:r>
          </w:p>
        </w:tc>
        <w:tc>
          <w:tcPr>
            <w:tcW w:w="475" w:type="pct"/>
            <w:vAlign w:val="center"/>
          </w:tcPr>
          <w:p w14:paraId="5734573E">
            <w:pPr>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15</w:t>
            </w:r>
          </w:p>
        </w:tc>
        <w:tc>
          <w:tcPr>
            <w:tcW w:w="446" w:type="pct"/>
            <w:vAlign w:val="center"/>
          </w:tcPr>
          <w:p w14:paraId="103EBCBF">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20</w:t>
            </w:r>
          </w:p>
        </w:tc>
      </w:tr>
      <w:tr w14:paraId="7890DE1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00" w:type="pct"/>
            <w:vMerge w:val="continue"/>
            <w:vAlign w:val="center"/>
          </w:tcPr>
          <w:p w14:paraId="53D0E417">
            <w:pPr>
              <w:jc w:val="center"/>
              <w:rPr>
                <w:rFonts w:asciiTheme="majorEastAsia" w:hAnsiTheme="majorEastAsia" w:eastAsiaTheme="majorEastAsia"/>
                <w:b/>
                <w:kern w:val="0"/>
                <w:sz w:val="21"/>
                <w:szCs w:val="21"/>
              </w:rPr>
            </w:pPr>
          </w:p>
        </w:tc>
        <w:tc>
          <w:tcPr>
            <w:tcW w:w="522" w:type="pct"/>
            <w:vMerge w:val="continue"/>
            <w:vAlign w:val="center"/>
          </w:tcPr>
          <w:p w14:paraId="1FA7CCAF">
            <w:pPr>
              <w:widowControl/>
              <w:jc w:val="center"/>
              <w:rPr>
                <w:rFonts w:asciiTheme="majorEastAsia" w:hAnsiTheme="majorEastAsia" w:eastAsiaTheme="majorEastAsia"/>
                <w:kern w:val="0"/>
                <w:sz w:val="21"/>
                <w:szCs w:val="21"/>
              </w:rPr>
            </w:pPr>
          </w:p>
        </w:tc>
        <w:tc>
          <w:tcPr>
            <w:tcW w:w="1348" w:type="pct"/>
            <w:gridSpan w:val="2"/>
            <w:vAlign w:val="center"/>
          </w:tcPr>
          <w:p w14:paraId="79C1DCF0">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中专、大专、职校</w:t>
            </w:r>
          </w:p>
        </w:tc>
        <w:tc>
          <w:tcPr>
            <w:tcW w:w="1051" w:type="pct"/>
            <w:vMerge w:val="continue"/>
            <w:vAlign w:val="center"/>
          </w:tcPr>
          <w:p w14:paraId="61FBA49C">
            <w:pPr>
              <w:widowControl/>
              <w:jc w:val="center"/>
              <w:rPr>
                <w:rFonts w:asciiTheme="majorEastAsia" w:hAnsiTheme="majorEastAsia" w:eastAsiaTheme="majorEastAsia"/>
                <w:kern w:val="0"/>
                <w:sz w:val="21"/>
                <w:szCs w:val="21"/>
              </w:rPr>
            </w:pPr>
          </w:p>
        </w:tc>
        <w:tc>
          <w:tcPr>
            <w:tcW w:w="385" w:type="pct"/>
            <w:vAlign w:val="center"/>
          </w:tcPr>
          <w:p w14:paraId="37310225">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10</w:t>
            </w:r>
          </w:p>
        </w:tc>
        <w:tc>
          <w:tcPr>
            <w:tcW w:w="373" w:type="pct"/>
            <w:vAlign w:val="center"/>
          </w:tcPr>
          <w:p w14:paraId="0D480FD5">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25</w:t>
            </w:r>
          </w:p>
        </w:tc>
        <w:tc>
          <w:tcPr>
            <w:tcW w:w="475" w:type="pct"/>
            <w:vAlign w:val="center"/>
          </w:tcPr>
          <w:p w14:paraId="0361B41B">
            <w:pPr>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20</w:t>
            </w:r>
          </w:p>
        </w:tc>
        <w:tc>
          <w:tcPr>
            <w:tcW w:w="446" w:type="pct"/>
            <w:vAlign w:val="center"/>
          </w:tcPr>
          <w:p w14:paraId="2AF509AE">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25</w:t>
            </w:r>
          </w:p>
        </w:tc>
      </w:tr>
      <w:tr w14:paraId="3E4DC80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00" w:type="pct"/>
            <w:vMerge w:val="continue"/>
            <w:vAlign w:val="center"/>
          </w:tcPr>
          <w:p w14:paraId="7E1FB548">
            <w:pPr>
              <w:jc w:val="center"/>
              <w:rPr>
                <w:rFonts w:asciiTheme="majorEastAsia" w:hAnsiTheme="majorEastAsia" w:eastAsiaTheme="majorEastAsia"/>
                <w:b/>
                <w:kern w:val="0"/>
                <w:sz w:val="21"/>
                <w:szCs w:val="21"/>
              </w:rPr>
            </w:pPr>
          </w:p>
        </w:tc>
        <w:tc>
          <w:tcPr>
            <w:tcW w:w="522" w:type="pct"/>
            <w:vMerge w:val="continue"/>
            <w:vAlign w:val="center"/>
          </w:tcPr>
          <w:p w14:paraId="59399DEB">
            <w:pPr>
              <w:widowControl/>
              <w:jc w:val="center"/>
              <w:rPr>
                <w:rFonts w:asciiTheme="majorEastAsia" w:hAnsiTheme="majorEastAsia" w:eastAsiaTheme="majorEastAsia"/>
                <w:kern w:val="0"/>
                <w:sz w:val="21"/>
                <w:szCs w:val="21"/>
              </w:rPr>
            </w:pPr>
          </w:p>
        </w:tc>
        <w:tc>
          <w:tcPr>
            <w:tcW w:w="1348" w:type="pct"/>
            <w:gridSpan w:val="2"/>
            <w:vAlign w:val="center"/>
          </w:tcPr>
          <w:p w14:paraId="306775E3">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综合性大学</w:t>
            </w:r>
          </w:p>
        </w:tc>
        <w:tc>
          <w:tcPr>
            <w:tcW w:w="1051" w:type="pct"/>
            <w:vMerge w:val="continue"/>
            <w:vAlign w:val="center"/>
          </w:tcPr>
          <w:p w14:paraId="48E1086D">
            <w:pPr>
              <w:widowControl/>
              <w:jc w:val="center"/>
              <w:rPr>
                <w:rFonts w:asciiTheme="majorEastAsia" w:hAnsiTheme="majorEastAsia" w:eastAsiaTheme="majorEastAsia"/>
                <w:kern w:val="0"/>
                <w:sz w:val="21"/>
                <w:szCs w:val="21"/>
              </w:rPr>
            </w:pPr>
          </w:p>
        </w:tc>
        <w:tc>
          <w:tcPr>
            <w:tcW w:w="385" w:type="pct"/>
            <w:vAlign w:val="center"/>
          </w:tcPr>
          <w:p w14:paraId="34876B15">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15</w:t>
            </w:r>
          </w:p>
        </w:tc>
        <w:tc>
          <w:tcPr>
            <w:tcW w:w="373" w:type="pct"/>
            <w:vAlign w:val="center"/>
          </w:tcPr>
          <w:p w14:paraId="42332962">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30</w:t>
            </w:r>
          </w:p>
        </w:tc>
        <w:tc>
          <w:tcPr>
            <w:tcW w:w="475" w:type="pct"/>
            <w:vAlign w:val="center"/>
          </w:tcPr>
          <w:p w14:paraId="7F0C02D5">
            <w:pPr>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30</w:t>
            </w:r>
          </w:p>
        </w:tc>
        <w:tc>
          <w:tcPr>
            <w:tcW w:w="446" w:type="pct"/>
            <w:vAlign w:val="center"/>
          </w:tcPr>
          <w:p w14:paraId="199CD35A">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30</w:t>
            </w:r>
          </w:p>
        </w:tc>
      </w:tr>
      <w:tr w14:paraId="66024B0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00" w:type="pct"/>
            <w:vMerge w:val="continue"/>
            <w:vAlign w:val="center"/>
          </w:tcPr>
          <w:p w14:paraId="68489DE9">
            <w:pPr>
              <w:widowControl/>
              <w:jc w:val="center"/>
              <w:rPr>
                <w:rFonts w:asciiTheme="majorEastAsia" w:hAnsiTheme="majorEastAsia" w:eastAsiaTheme="majorEastAsia"/>
                <w:b/>
                <w:kern w:val="0"/>
                <w:sz w:val="21"/>
                <w:szCs w:val="21"/>
              </w:rPr>
            </w:pPr>
          </w:p>
        </w:tc>
        <w:tc>
          <w:tcPr>
            <w:tcW w:w="522" w:type="pct"/>
            <w:vMerge w:val="restart"/>
            <w:vAlign w:val="center"/>
          </w:tcPr>
          <w:p w14:paraId="287F5FB3">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学生接送临时停车位</w:t>
            </w:r>
          </w:p>
        </w:tc>
        <w:tc>
          <w:tcPr>
            <w:tcW w:w="1348" w:type="pct"/>
            <w:gridSpan w:val="2"/>
            <w:vAlign w:val="center"/>
          </w:tcPr>
          <w:p w14:paraId="6A554C86">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中学</w:t>
            </w:r>
          </w:p>
        </w:tc>
        <w:tc>
          <w:tcPr>
            <w:tcW w:w="1051" w:type="pct"/>
            <w:vMerge w:val="restart"/>
            <w:vAlign w:val="center"/>
          </w:tcPr>
          <w:p w14:paraId="45FC1D27">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车位/100学生</w:t>
            </w:r>
          </w:p>
        </w:tc>
        <w:tc>
          <w:tcPr>
            <w:tcW w:w="385" w:type="pct"/>
            <w:vAlign w:val="center"/>
          </w:tcPr>
          <w:p w14:paraId="38499CB9">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2</w:t>
            </w:r>
          </w:p>
        </w:tc>
        <w:tc>
          <w:tcPr>
            <w:tcW w:w="373" w:type="pct"/>
            <w:vAlign w:val="center"/>
          </w:tcPr>
          <w:p w14:paraId="223F9AA0">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w:t>
            </w:r>
          </w:p>
        </w:tc>
        <w:tc>
          <w:tcPr>
            <w:tcW w:w="475" w:type="pct"/>
            <w:vAlign w:val="center"/>
          </w:tcPr>
          <w:p w14:paraId="2DF2379D">
            <w:pPr>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3</w:t>
            </w:r>
          </w:p>
        </w:tc>
        <w:tc>
          <w:tcPr>
            <w:tcW w:w="446" w:type="pct"/>
            <w:vAlign w:val="center"/>
          </w:tcPr>
          <w:p w14:paraId="0E4C3248">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3</w:t>
            </w:r>
          </w:p>
        </w:tc>
      </w:tr>
      <w:tr w14:paraId="2AA5412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00" w:type="pct"/>
            <w:vMerge w:val="continue"/>
            <w:vAlign w:val="center"/>
          </w:tcPr>
          <w:p w14:paraId="7E784C0E">
            <w:pPr>
              <w:widowControl/>
              <w:jc w:val="center"/>
              <w:rPr>
                <w:rFonts w:asciiTheme="majorEastAsia" w:hAnsiTheme="majorEastAsia" w:eastAsiaTheme="majorEastAsia"/>
                <w:b/>
                <w:kern w:val="0"/>
                <w:sz w:val="21"/>
                <w:szCs w:val="21"/>
              </w:rPr>
            </w:pPr>
          </w:p>
        </w:tc>
        <w:tc>
          <w:tcPr>
            <w:tcW w:w="522" w:type="pct"/>
            <w:vMerge w:val="continue"/>
            <w:vAlign w:val="center"/>
          </w:tcPr>
          <w:p w14:paraId="142028ED">
            <w:pPr>
              <w:widowControl/>
              <w:jc w:val="center"/>
              <w:rPr>
                <w:rFonts w:asciiTheme="majorEastAsia" w:hAnsiTheme="majorEastAsia" w:eastAsiaTheme="majorEastAsia"/>
                <w:kern w:val="0"/>
                <w:sz w:val="21"/>
                <w:szCs w:val="21"/>
              </w:rPr>
            </w:pPr>
          </w:p>
        </w:tc>
        <w:tc>
          <w:tcPr>
            <w:tcW w:w="1348" w:type="pct"/>
            <w:gridSpan w:val="2"/>
            <w:vAlign w:val="center"/>
          </w:tcPr>
          <w:p w14:paraId="68682F1E">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小学</w:t>
            </w:r>
          </w:p>
        </w:tc>
        <w:tc>
          <w:tcPr>
            <w:tcW w:w="1051" w:type="pct"/>
            <w:vMerge w:val="continue"/>
            <w:vAlign w:val="center"/>
          </w:tcPr>
          <w:p w14:paraId="3F6DB5B3">
            <w:pPr>
              <w:jc w:val="center"/>
              <w:rPr>
                <w:rFonts w:asciiTheme="majorEastAsia" w:hAnsiTheme="majorEastAsia" w:eastAsiaTheme="majorEastAsia"/>
                <w:b/>
                <w:kern w:val="0"/>
                <w:sz w:val="21"/>
                <w:szCs w:val="21"/>
              </w:rPr>
            </w:pPr>
          </w:p>
        </w:tc>
        <w:tc>
          <w:tcPr>
            <w:tcW w:w="385" w:type="pct"/>
            <w:vAlign w:val="center"/>
          </w:tcPr>
          <w:p w14:paraId="5153B50D">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4</w:t>
            </w:r>
          </w:p>
        </w:tc>
        <w:tc>
          <w:tcPr>
            <w:tcW w:w="373" w:type="pct"/>
            <w:vAlign w:val="center"/>
          </w:tcPr>
          <w:p w14:paraId="60D6034E">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w:t>
            </w:r>
          </w:p>
        </w:tc>
        <w:tc>
          <w:tcPr>
            <w:tcW w:w="475" w:type="pct"/>
            <w:vAlign w:val="center"/>
          </w:tcPr>
          <w:p w14:paraId="5071DEF3">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5</w:t>
            </w:r>
          </w:p>
        </w:tc>
        <w:tc>
          <w:tcPr>
            <w:tcW w:w="446" w:type="pct"/>
            <w:vAlign w:val="center"/>
          </w:tcPr>
          <w:p w14:paraId="33AF59E4">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5</w:t>
            </w:r>
          </w:p>
        </w:tc>
      </w:tr>
      <w:tr w14:paraId="3E469C4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00" w:type="pct"/>
            <w:vMerge w:val="continue"/>
            <w:vAlign w:val="center"/>
          </w:tcPr>
          <w:p w14:paraId="0376B33E">
            <w:pPr>
              <w:widowControl/>
              <w:jc w:val="center"/>
              <w:rPr>
                <w:rFonts w:asciiTheme="majorEastAsia" w:hAnsiTheme="majorEastAsia" w:eastAsiaTheme="majorEastAsia"/>
                <w:b/>
                <w:kern w:val="0"/>
                <w:sz w:val="21"/>
                <w:szCs w:val="21"/>
              </w:rPr>
            </w:pPr>
          </w:p>
        </w:tc>
        <w:tc>
          <w:tcPr>
            <w:tcW w:w="522" w:type="pct"/>
            <w:vMerge w:val="continue"/>
            <w:vAlign w:val="center"/>
          </w:tcPr>
          <w:p w14:paraId="668D3F6D">
            <w:pPr>
              <w:widowControl/>
              <w:jc w:val="center"/>
              <w:rPr>
                <w:rFonts w:asciiTheme="majorEastAsia" w:hAnsiTheme="majorEastAsia" w:eastAsiaTheme="majorEastAsia"/>
                <w:kern w:val="0"/>
                <w:sz w:val="21"/>
                <w:szCs w:val="21"/>
              </w:rPr>
            </w:pPr>
          </w:p>
        </w:tc>
        <w:tc>
          <w:tcPr>
            <w:tcW w:w="1348" w:type="pct"/>
            <w:gridSpan w:val="2"/>
            <w:vAlign w:val="center"/>
          </w:tcPr>
          <w:p w14:paraId="56E2C7AB">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幼儿园</w:t>
            </w:r>
          </w:p>
        </w:tc>
        <w:tc>
          <w:tcPr>
            <w:tcW w:w="1051" w:type="pct"/>
            <w:vMerge w:val="continue"/>
            <w:vAlign w:val="center"/>
          </w:tcPr>
          <w:p w14:paraId="39FFD214">
            <w:pPr>
              <w:widowControl/>
              <w:jc w:val="center"/>
              <w:rPr>
                <w:rFonts w:asciiTheme="majorEastAsia" w:hAnsiTheme="majorEastAsia" w:eastAsiaTheme="majorEastAsia"/>
                <w:b/>
                <w:kern w:val="0"/>
                <w:sz w:val="21"/>
                <w:szCs w:val="21"/>
              </w:rPr>
            </w:pPr>
          </w:p>
        </w:tc>
        <w:tc>
          <w:tcPr>
            <w:tcW w:w="385" w:type="pct"/>
            <w:vAlign w:val="center"/>
          </w:tcPr>
          <w:p w14:paraId="0FDA673C">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3</w:t>
            </w:r>
          </w:p>
        </w:tc>
        <w:tc>
          <w:tcPr>
            <w:tcW w:w="373" w:type="pct"/>
            <w:vAlign w:val="center"/>
          </w:tcPr>
          <w:p w14:paraId="45F0E8F0">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w:t>
            </w:r>
          </w:p>
        </w:tc>
        <w:tc>
          <w:tcPr>
            <w:tcW w:w="475" w:type="pct"/>
            <w:vAlign w:val="center"/>
          </w:tcPr>
          <w:p w14:paraId="71FDFD63">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4</w:t>
            </w:r>
          </w:p>
        </w:tc>
        <w:tc>
          <w:tcPr>
            <w:tcW w:w="446" w:type="pct"/>
            <w:vAlign w:val="center"/>
          </w:tcPr>
          <w:p w14:paraId="74B3C217">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4</w:t>
            </w:r>
          </w:p>
        </w:tc>
      </w:tr>
      <w:tr w14:paraId="74F502D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00" w:type="pct"/>
            <w:vMerge w:val="restart"/>
            <w:vAlign w:val="center"/>
          </w:tcPr>
          <w:p w14:paraId="1545DA72">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游览场所</w:t>
            </w:r>
          </w:p>
        </w:tc>
        <w:tc>
          <w:tcPr>
            <w:tcW w:w="1870" w:type="pct"/>
            <w:gridSpan w:val="3"/>
            <w:vAlign w:val="center"/>
          </w:tcPr>
          <w:p w14:paraId="24F96DAA">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主题公园</w:t>
            </w:r>
          </w:p>
        </w:tc>
        <w:tc>
          <w:tcPr>
            <w:tcW w:w="1051" w:type="pct"/>
            <w:vAlign w:val="center"/>
          </w:tcPr>
          <w:p w14:paraId="7C317548">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车位/公顷占地面积</w:t>
            </w:r>
          </w:p>
        </w:tc>
        <w:tc>
          <w:tcPr>
            <w:tcW w:w="385" w:type="pct"/>
            <w:vAlign w:val="center"/>
          </w:tcPr>
          <w:p w14:paraId="78D1C055">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1.5</w:t>
            </w:r>
          </w:p>
        </w:tc>
        <w:tc>
          <w:tcPr>
            <w:tcW w:w="373" w:type="pct"/>
            <w:vAlign w:val="center"/>
          </w:tcPr>
          <w:p w14:paraId="1920B3AE">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8.0</w:t>
            </w:r>
          </w:p>
        </w:tc>
        <w:tc>
          <w:tcPr>
            <w:tcW w:w="475" w:type="pct"/>
            <w:vAlign w:val="center"/>
          </w:tcPr>
          <w:p w14:paraId="73D8F0AB">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8.0</w:t>
            </w:r>
          </w:p>
        </w:tc>
        <w:tc>
          <w:tcPr>
            <w:tcW w:w="446" w:type="pct"/>
            <w:vAlign w:val="center"/>
          </w:tcPr>
          <w:p w14:paraId="7FDDD3ED">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10.0</w:t>
            </w:r>
          </w:p>
        </w:tc>
      </w:tr>
      <w:tr w14:paraId="5EA8845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00" w:type="pct"/>
            <w:vMerge w:val="continue"/>
            <w:vAlign w:val="center"/>
          </w:tcPr>
          <w:p w14:paraId="68606A42">
            <w:pPr>
              <w:widowControl/>
              <w:jc w:val="center"/>
              <w:rPr>
                <w:rFonts w:asciiTheme="majorEastAsia" w:hAnsiTheme="majorEastAsia" w:eastAsiaTheme="majorEastAsia"/>
                <w:kern w:val="0"/>
                <w:sz w:val="21"/>
                <w:szCs w:val="21"/>
              </w:rPr>
            </w:pPr>
          </w:p>
        </w:tc>
        <w:tc>
          <w:tcPr>
            <w:tcW w:w="1870" w:type="pct"/>
            <w:gridSpan w:val="3"/>
            <w:vAlign w:val="center"/>
          </w:tcPr>
          <w:p w14:paraId="09C3E118">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一般性公园、风景区</w:t>
            </w:r>
          </w:p>
        </w:tc>
        <w:tc>
          <w:tcPr>
            <w:tcW w:w="1051" w:type="pct"/>
            <w:vAlign w:val="center"/>
          </w:tcPr>
          <w:p w14:paraId="43924EE4">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车位/公顷占地面积</w:t>
            </w:r>
          </w:p>
        </w:tc>
        <w:tc>
          <w:tcPr>
            <w:tcW w:w="385" w:type="pct"/>
            <w:vAlign w:val="center"/>
          </w:tcPr>
          <w:p w14:paraId="3B122F7C">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1.0</w:t>
            </w:r>
          </w:p>
        </w:tc>
        <w:tc>
          <w:tcPr>
            <w:tcW w:w="373" w:type="pct"/>
            <w:vAlign w:val="center"/>
          </w:tcPr>
          <w:p w14:paraId="191583D2">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2.0</w:t>
            </w:r>
          </w:p>
        </w:tc>
        <w:tc>
          <w:tcPr>
            <w:tcW w:w="475" w:type="pct"/>
            <w:vAlign w:val="center"/>
          </w:tcPr>
          <w:p w14:paraId="2002689E">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2.0</w:t>
            </w:r>
          </w:p>
        </w:tc>
        <w:tc>
          <w:tcPr>
            <w:tcW w:w="446" w:type="pct"/>
            <w:vAlign w:val="center"/>
          </w:tcPr>
          <w:p w14:paraId="55740017">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4.0</w:t>
            </w:r>
          </w:p>
        </w:tc>
      </w:tr>
      <w:tr w14:paraId="28DCDB4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2270" w:type="pct"/>
            <w:gridSpan w:val="4"/>
            <w:vAlign w:val="center"/>
          </w:tcPr>
          <w:p w14:paraId="4B82E50D">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实验室</w:t>
            </w:r>
            <w:r>
              <w:rPr>
                <w:rFonts w:hint="eastAsia" w:asciiTheme="majorEastAsia" w:hAnsiTheme="majorEastAsia" w:eastAsiaTheme="majorEastAsia"/>
                <w:kern w:val="0"/>
                <w:sz w:val="21"/>
                <w:szCs w:val="21"/>
              </w:rPr>
              <w:t>*</w:t>
            </w:r>
          </w:p>
        </w:tc>
        <w:tc>
          <w:tcPr>
            <w:tcW w:w="1051" w:type="pct"/>
            <w:vAlign w:val="center"/>
          </w:tcPr>
          <w:p w14:paraId="1ABD02A5">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车位/100</w:t>
            </w:r>
            <w:r>
              <w:rPr>
                <w:rFonts w:hint="eastAsia" w:asciiTheme="majorEastAsia" w:hAnsiTheme="majorEastAsia" w:eastAsiaTheme="majorEastAsia"/>
                <w:kern w:val="0"/>
                <w:sz w:val="21"/>
                <w:szCs w:val="21"/>
              </w:rPr>
              <w:t xml:space="preserve"> m</w:t>
            </w:r>
            <w:r>
              <w:rPr>
                <w:rFonts w:asciiTheme="majorEastAsia" w:hAnsiTheme="majorEastAsia" w:eastAsiaTheme="majorEastAsia"/>
                <w:kern w:val="0"/>
                <w:sz w:val="21"/>
                <w:szCs w:val="21"/>
                <w:vertAlign w:val="superscript"/>
              </w:rPr>
              <w:t>2</w:t>
            </w:r>
            <w:r>
              <w:rPr>
                <w:rFonts w:asciiTheme="majorEastAsia" w:hAnsiTheme="majorEastAsia" w:eastAsiaTheme="majorEastAsia"/>
                <w:kern w:val="0"/>
                <w:sz w:val="21"/>
                <w:szCs w:val="21"/>
              </w:rPr>
              <w:t>建筑面积</w:t>
            </w:r>
          </w:p>
        </w:tc>
        <w:tc>
          <w:tcPr>
            <w:tcW w:w="385" w:type="pct"/>
            <w:vAlign w:val="center"/>
          </w:tcPr>
          <w:p w14:paraId="09140715">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0.4</w:t>
            </w:r>
          </w:p>
        </w:tc>
        <w:tc>
          <w:tcPr>
            <w:tcW w:w="373" w:type="pct"/>
            <w:vAlign w:val="center"/>
          </w:tcPr>
          <w:p w14:paraId="36FC21D2">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0.5</w:t>
            </w:r>
          </w:p>
        </w:tc>
        <w:tc>
          <w:tcPr>
            <w:tcW w:w="475" w:type="pct"/>
            <w:vAlign w:val="center"/>
          </w:tcPr>
          <w:p w14:paraId="0452ED0D">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0.5</w:t>
            </w:r>
          </w:p>
        </w:tc>
        <w:tc>
          <w:tcPr>
            <w:tcW w:w="446" w:type="pct"/>
            <w:vAlign w:val="center"/>
          </w:tcPr>
          <w:p w14:paraId="1B947D63">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0.5</w:t>
            </w:r>
          </w:p>
        </w:tc>
      </w:tr>
      <w:tr w14:paraId="76C231C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2270" w:type="pct"/>
            <w:gridSpan w:val="4"/>
            <w:vAlign w:val="center"/>
          </w:tcPr>
          <w:p w14:paraId="303B941F">
            <w:pPr>
              <w:widowControl/>
              <w:jc w:val="center"/>
              <w:rPr>
                <w:rFonts w:asciiTheme="majorEastAsia" w:hAnsiTheme="majorEastAsia" w:eastAsiaTheme="majorEastAsia"/>
                <w:color w:val="000000"/>
                <w:kern w:val="0"/>
                <w:sz w:val="21"/>
                <w:szCs w:val="21"/>
              </w:rPr>
            </w:pPr>
            <w:r>
              <w:rPr>
                <w:rFonts w:hint="eastAsia" w:asciiTheme="majorEastAsia" w:hAnsiTheme="majorEastAsia" w:eastAsiaTheme="majorEastAsia"/>
                <w:color w:val="000000"/>
                <w:kern w:val="0"/>
                <w:sz w:val="21"/>
                <w:szCs w:val="21"/>
              </w:rPr>
              <w:t>无人及少人值守的研发、科研建筑（数据中心）*</w:t>
            </w:r>
          </w:p>
        </w:tc>
        <w:tc>
          <w:tcPr>
            <w:tcW w:w="1051" w:type="pct"/>
            <w:vAlign w:val="center"/>
          </w:tcPr>
          <w:p w14:paraId="71F4FF61">
            <w:pPr>
              <w:widowControl/>
              <w:jc w:val="center"/>
              <w:rPr>
                <w:rFonts w:asciiTheme="majorEastAsia" w:hAnsiTheme="majorEastAsia" w:eastAsiaTheme="majorEastAsia"/>
                <w:color w:val="000000"/>
                <w:kern w:val="0"/>
                <w:sz w:val="21"/>
                <w:szCs w:val="21"/>
              </w:rPr>
            </w:pPr>
            <w:r>
              <w:rPr>
                <w:rFonts w:asciiTheme="majorEastAsia" w:hAnsiTheme="majorEastAsia" w:eastAsiaTheme="majorEastAsia"/>
                <w:color w:val="000000"/>
                <w:kern w:val="0"/>
                <w:sz w:val="21"/>
                <w:szCs w:val="21"/>
              </w:rPr>
              <w:t>车位/100</w:t>
            </w:r>
            <w:r>
              <w:rPr>
                <w:rFonts w:hint="eastAsia" w:asciiTheme="majorEastAsia" w:hAnsiTheme="majorEastAsia" w:eastAsiaTheme="majorEastAsia"/>
                <w:color w:val="000000"/>
                <w:kern w:val="0"/>
                <w:sz w:val="21"/>
                <w:szCs w:val="21"/>
              </w:rPr>
              <w:t xml:space="preserve"> m</w:t>
            </w:r>
            <w:r>
              <w:rPr>
                <w:rFonts w:asciiTheme="majorEastAsia" w:hAnsiTheme="majorEastAsia" w:eastAsiaTheme="majorEastAsia"/>
                <w:color w:val="000000"/>
                <w:kern w:val="0"/>
                <w:sz w:val="21"/>
                <w:szCs w:val="21"/>
                <w:vertAlign w:val="superscript"/>
              </w:rPr>
              <w:t>2</w:t>
            </w:r>
            <w:r>
              <w:rPr>
                <w:rFonts w:asciiTheme="majorEastAsia" w:hAnsiTheme="majorEastAsia" w:eastAsiaTheme="majorEastAsia"/>
                <w:color w:val="000000"/>
                <w:kern w:val="0"/>
                <w:sz w:val="21"/>
                <w:szCs w:val="21"/>
              </w:rPr>
              <w:t>建筑面积</w:t>
            </w:r>
          </w:p>
        </w:tc>
        <w:tc>
          <w:tcPr>
            <w:tcW w:w="758" w:type="pct"/>
            <w:gridSpan w:val="2"/>
            <w:vAlign w:val="center"/>
          </w:tcPr>
          <w:p w14:paraId="1C2A9132">
            <w:pPr>
              <w:widowControl/>
              <w:jc w:val="center"/>
              <w:rPr>
                <w:rFonts w:asciiTheme="majorEastAsia" w:hAnsiTheme="majorEastAsia" w:eastAsiaTheme="majorEastAsia"/>
                <w:color w:val="000000"/>
                <w:kern w:val="0"/>
                <w:sz w:val="21"/>
                <w:szCs w:val="21"/>
              </w:rPr>
            </w:pPr>
            <w:r>
              <w:rPr>
                <w:rFonts w:asciiTheme="majorEastAsia" w:hAnsiTheme="majorEastAsia" w:eastAsiaTheme="majorEastAsia"/>
                <w:color w:val="000000"/>
                <w:kern w:val="0"/>
                <w:sz w:val="21"/>
                <w:szCs w:val="21"/>
              </w:rPr>
              <w:t>—</w:t>
            </w:r>
          </w:p>
        </w:tc>
        <w:tc>
          <w:tcPr>
            <w:tcW w:w="475" w:type="pct"/>
            <w:vAlign w:val="center"/>
          </w:tcPr>
          <w:p w14:paraId="1F93E14D">
            <w:pPr>
              <w:widowControl/>
              <w:jc w:val="center"/>
              <w:rPr>
                <w:rFonts w:asciiTheme="majorEastAsia" w:hAnsiTheme="majorEastAsia" w:eastAsiaTheme="majorEastAsia"/>
                <w:color w:val="000000"/>
                <w:kern w:val="0"/>
                <w:sz w:val="21"/>
                <w:szCs w:val="21"/>
              </w:rPr>
            </w:pPr>
            <w:r>
              <w:rPr>
                <w:rFonts w:hint="eastAsia" w:asciiTheme="majorEastAsia" w:hAnsiTheme="majorEastAsia" w:eastAsiaTheme="majorEastAsia"/>
                <w:color w:val="000000"/>
                <w:kern w:val="0"/>
                <w:sz w:val="21"/>
                <w:szCs w:val="21"/>
              </w:rPr>
              <w:t>0</w:t>
            </w:r>
            <w:r>
              <w:rPr>
                <w:rFonts w:asciiTheme="majorEastAsia" w:hAnsiTheme="majorEastAsia" w:eastAsiaTheme="majorEastAsia"/>
                <w:color w:val="000000"/>
                <w:kern w:val="0"/>
                <w:sz w:val="21"/>
                <w:szCs w:val="21"/>
              </w:rPr>
              <w:t>.2</w:t>
            </w:r>
          </w:p>
        </w:tc>
        <w:tc>
          <w:tcPr>
            <w:tcW w:w="446" w:type="pct"/>
            <w:vAlign w:val="center"/>
          </w:tcPr>
          <w:p w14:paraId="23EB87F9">
            <w:pPr>
              <w:widowControl/>
              <w:jc w:val="center"/>
              <w:rPr>
                <w:rFonts w:asciiTheme="majorEastAsia" w:hAnsiTheme="majorEastAsia" w:eastAsiaTheme="majorEastAsia"/>
                <w:color w:val="000000"/>
                <w:kern w:val="0"/>
                <w:sz w:val="21"/>
                <w:szCs w:val="21"/>
              </w:rPr>
            </w:pPr>
            <w:r>
              <w:rPr>
                <w:rFonts w:hint="eastAsia" w:asciiTheme="majorEastAsia" w:hAnsiTheme="majorEastAsia" w:eastAsiaTheme="majorEastAsia"/>
                <w:color w:val="000000"/>
                <w:kern w:val="0"/>
                <w:sz w:val="21"/>
                <w:szCs w:val="21"/>
              </w:rPr>
              <w:t>0</w:t>
            </w:r>
            <w:r>
              <w:rPr>
                <w:rFonts w:asciiTheme="majorEastAsia" w:hAnsiTheme="majorEastAsia" w:eastAsiaTheme="majorEastAsia"/>
                <w:color w:val="000000"/>
                <w:kern w:val="0"/>
                <w:sz w:val="21"/>
                <w:szCs w:val="21"/>
              </w:rPr>
              <w:t>.2</w:t>
            </w:r>
          </w:p>
        </w:tc>
      </w:tr>
      <w:tr w14:paraId="1BBC7B7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00" w:type="pct"/>
            <w:vMerge w:val="restart"/>
            <w:vAlign w:val="center"/>
          </w:tcPr>
          <w:p w14:paraId="1A85AFE6">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工业</w:t>
            </w:r>
          </w:p>
        </w:tc>
        <w:tc>
          <w:tcPr>
            <w:tcW w:w="1870" w:type="pct"/>
            <w:gridSpan w:val="3"/>
            <w:vAlign w:val="center"/>
          </w:tcPr>
          <w:p w14:paraId="40138FC8">
            <w:pPr>
              <w:widowControl/>
              <w:jc w:val="center"/>
              <w:rPr>
                <w:rFonts w:asciiTheme="majorEastAsia" w:hAnsiTheme="majorEastAsia" w:eastAsiaTheme="majorEastAsia"/>
                <w:kern w:val="0"/>
                <w:sz w:val="21"/>
                <w:szCs w:val="21"/>
              </w:rPr>
            </w:pPr>
            <w:r>
              <w:rPr>
                <w:rFonts w:hint="eastAsia" w:asciiTheme="majorEastAsia" w:hAnsiTheme="majorEastAsia" w:eastAsiaTheme="majorEastAsia"/>
                <w:kern w:val="0"/>
                <w:sz w:val="21"/>
                <w:szCs w:val="21"/>
              </w:rPr>
              <w:t>普通工业</w:t>
            </w:r>
            <w:r>
              <w:rPr>
                <w:rFonts w:asciiTheme="majorEastAsia" w:hAnsiTheme="majorEastAsia" w:eastAsiaTheme="majorEastAsia"/>
                <w:kern w:val="0"/>
                <w:sz w:val="21"/>
                <w:szCs w:val="21"/>
              </w:rPr>
              <w:t>厂房</w:t>
            </w:r>
            <w:r>
              <w:rPr>
                <w:rFonts w:hint="eastAsia" w:asciiTheme="majorEastAsia" w:hAnsiTheme="majorEastAsia" w:eastAsiaTheme="majorEastAsia"/>
                <w:kern w:val="0"/>
                <w:sz w:val="21"/>
                <w:szCs w:val="21"/>
              </w:rPr>
              <w:t>*</w:t>
            </w:r>
          </w:p>
        </w:tc>
        <w:tc>
          <w:tcPr>
            <w:tcW w:w="1051" w:type="pct"/>
            <w:vAlign w:val="center"/>
          </w:tcPr>
          <w:p w14:paraId="33D66607">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车位/100</w:t>
            </w:r>
            <w:r>
              <w:rPr>
                <w:rFonts w:hint="eastAsia" w:asciiTheme="majorEastAsia" w:hAnsiTheme="majorEastAsia" w:eastAsiaTheme="majorEastAsia"/>
                <w:kern w:val="0"/>
                <w:sz w:val="21"/>
                <w:szCs w:val="21"/>
              </w:rPr>
              <w:t xml:space="preserve"> m</w:t>
            </w:r>
            <w:r>
              <w:rPr>
                <w:rFonts w:asciiTheme="majorEastAsia" w:hAnsiTheme="majorEastAsia" w:eastAsiaTheme="majorEastAsia"/>
                <w:kern w:val="0"/>
                <w:sz w:val="21"/>
                <w:szCs w:val="21"/>
                <w:vertAlign w:val="superscript"/>
              </w:rPr>
              <w:t>2</w:t>
            </w:r>
            <w:r>
              <w:rPr>
                <w:rFonts w:asciiTheme="majorEastAsia" w:hAnsiTheme="majorEastAsia" w:eastAsiaTheme="majorEastAsia"/>
                <w:kern w:val="0"/>
                <w:sz w:val="21"/>
                <w:szCs w:val="21"/>
              </w:rPr>
              <w:t>建筑面积</w:t>
            </w:r>
          </w:p>
        </w:tc>
        <w:tc>
          <w:tcPr>
            <w:tcW w:w="758" w:type="pct"/>
            <w:gridSpan w:val="2"/>
            <w:vAlign w:val="center"/>
          </w:tcPr>
          <w:p w14:paraId="4468C34C">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w:t>
            </w:r>
          </w:p>
        </w:tc>
        <w:tc>
          <w:tcPr>
            <w:tcW w:w="475" w:type="pct"/>
            <w:vAlign w:val="center"/>
          </w:tcPr>
          <w:p w14:paraId="042F3E14">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0.4</w:t>
            </w:r>
          </w:p>
        </w:tc>
        <w:tc>
          <w:tcPr>
            <w:tcW w:w="446" w:type="pct"/>
            <w:vAlign w:val="center"/>
          </w:tcPr>
          <w:p w14:paraId="38921BFD">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0.4</w:t>
            </w:r>
          </w:p>
        </w:tc>
      </w:tr>
      <w:tr w14:paraId="4B166B0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00" w:type="pct"/>
            <w:vMerge w:val="continue"/>
            <w:vAlign w:val="center"/>
          </w:tcPr>
          <w:p w14:paraId="3F8BAA16">
            <w:pPr>
              <w:widowControl/>
              <w:jc w:val="center"/>
              <w:rPr>
                <w:rFonts w:asciiTheme="majorEastAsia" w:hAnsiTheme="majorEastAsia" w:eastAsiaTheme="majorEastAsia"/>
                <w:kern w:val="0"/>
                <w:sz w:val="21"/>
                <w:szCs w:val="21"/>
              </w:rPr>
            </w:pPr>
          </w:p>
        </w:tc>
        <w:tc>
          <w:tcPr>
            <w:tcW w:w="1870" w:type="pct"/>
            <w:gridSpan w:val="3"/>
            <w:vAlign w:val="center"/>
          </w:tcPr>
          <w:p w14:paraId="4D4B201B">
            <w:pPr>
              <w:widowControl/>
              <w:jc w:val="center"/>
              <w:rPr>
                <w:rFonts w:asciiTheme="majorEastAsia" w:hAnsiTheme="majorEastAsia" w:eastAsiaTheme="majorEastAsia"/>
                <w:kern w:val="0"/>
                <w:sz w:val="21"/>
                <w:szCs w:val="21"/>
              </w:rPr>
            </w:pPr>
            <w:bookmarkStart w:id="26" w:name="_Hlk13843057"/>
            <w:r>
              <w:rPr>
                <w:rFonts w:hint="eastAsia" w:asciiTheme="majorEastAsia" w:hAnsiTheme="majorEastAsia" w:eastAsiaTheme="majorEastAsia"/>
                <w:kern w:val="0"/>
                <w:sz w:val="21"/>
                <w:szCs w:val="21"/>
              </w:rPr>
              <w:t>创新研发与服务用房</w:t>
            </w:r>
            <w:bookmarkEnd w:id="26"/>
            <w:r>
              <w:rPr>
                <w:rFonts w:hint="eastAsia" w:asciiTheme="majorEastAsia" w:hAnsiTheme="majorEastAsia" w:eastAsiaTheme="majorEastAsia"/>
                <w:kern w:val="0"/>
                <w:sz w:val="21"/>
                <w:szCs w:val="21"/>
              </w:rPr>
              <w:t>*</w:t>
            </w:r>
          </w:p>
        </w:tc>
        <w:tc>
          <w:tcPr>
            <w:tcW w:w="1051" w:type="pct"/>
            <w:vAlign w:val="center"/>
          </w:tcPr>
          <w:p w14:paraId="48D87487">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车位/100</w:t>
            </w:r>
            <w:r>
              <w:rPr>
                <w:rFonts w:hint="eastAsia" w:asciiTheme="majorEastAsia" w:hAnsiTheme="majorEastAsia" w:eastAsiaTheme="majorEastAsia"/>
                <w:kern w:val="0"/>
                <w:sz w:val="21"/>
                <w:szCs w:val="21"/>
              </w:rPr>
              <w:t xml:space="preserve"> m</w:t>
            </w:r>
            <w:r>
              <w:rPr>
                <w:rFonts w:asciiTheme="majorEastAsia" w:hAnsiTheme="majorEastAsia" w:eastAsiaTheme="majorEastAsia"/>
                <w:kern w:val="0"/>
                <w:sz w:val="21"/>
                <w:szCs w:val="21"/>
                <w:vertAlign w:val="superscript"/>
              </w:rPr>
              <w:t>2</w:t>
            </w:r>
            <w:r>
              <w:rPr>
                <w:rFonts w:asciiTheme="majorEastAsia" w:hAnsiTheme="majorEastAsia" w:eastAsiaTheme="majorEastAsia"/>
                <w:kern w:val="0"/>
                <w:sz w:val="21"/>
                <w:szCs w:val="21"/>
              </w:rPr>
              <w:t>建筑面积</w:t>
            </w:r>
          </w:p>
        </w:tc>
        <w:tc>
          <w:tcPr>
            <w:tcW w:w="758" w:type="pct"/>
            <w:gridSpan w:val="2"/>
            <w:vAlign w:val="center"/>
          </w:tcPr>
          <w:p w14:paraId="66FB5F85">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w:t>
            </w:r>
          </w:p>
        </w:tc>
        <w:tc>
          <w:tcPr>
            <w:tcW w:w="475" w:type="pct"/>
            <w:vAlign w:val="center"/>
          </w:tcPr>
          <w:p w14:paraId="2CA9C50A">
            <w:pPr>
              <w:widowControl/>
              <w:jc w:val="center"/>
              <w:rPr>
                <w:rFonts w:asciiTheme="majorEastAsia" w:hAnsiTheme="majorEastAsia" w:eastAsiaTheme="majorEastAsia"/>
                <w:kern w:val="0"/>
                <w:sz w:val="21"/>
                <w:szCs w:val="21"/>
              </w:rPr>
            </w:pPr>
            <w:r>
              <w:rPr>
                <w:rFonts w:hint="eastAsia" w:asciiTheme="majorEastAsia" w:hAnsiTheme="majorEastAsia" w:eastAsiaTheme="majorEastAsia"/>
                <w:kern w:val="0"/>
                <w:sz w:val="21"/>
                <w:szCs w:val="21"/>
              </w:rPr>
              <w:t>0</w:t>
            </w:r>
            <w:r>
              <w:rPr>
                <w:rFonts w:asciiTheme="majorEastAsia" w:hAnsiTheme="majorEastAsia" w:eastAsiaTheme="majorEastAsia"/>
                <w:kern w:val="0"/>
                <w:sz w:val="21"/>
                <w:szCs w:val="21"/>
              </w:rPr>
              <w:t>.6</w:t>
            </w:r>
          </w:p>
        </w:tc>
        <w:tc>
          <w:tcPr>
            <w:tcW w:w="446" w:type="pct"/>
            <w:vAlign w:val="center"/>
          </w:tcPr>
          <w:p w14:paraId="40FDAC9C">
            <w:pPr>
              <w:widowControl/>
              <w:jc w:val="center"/>
              <w:rPr>
                <w:rFonts w:asciiTheme="majorEastAsia" w:hAnsiTheme="majorEastAsia" w:eastAsiaTheme="majorEastAsia"/>
                <w:kern w:val="0"/>
                <w:sz w:val="21"/>
                <w:szCs w:val="21"/>
              </w:rPr>
            </w:pPr>
            <w:r>
              <w:rPr>
                <w:rFonts w:hint="eastAsia" w:asciiTheme="majorEastAsia" w:hAnsiTheme="majorEastAsia" w:eastAsiaTheme="majorEastAsia"/>
                <w:kern w:val="0"/>
                <w:sz w:val="21"/>
                <w:szCs w:val="21"/>
              </w:rPr>
              <w:t>0</w:t>
            </w:r>
            <w:r>
              <w:rPr>
                <w:rFonts w:asciiTheme="majorEastAsia" w:hAnsiTheme="majorEastAsia" w:eastAsiaTheme="majorEastAsia"/>
                <w:kern w:val="0"/>
                <w:sz w:val="21"/>
                <w:szCs w:val="21"/>
              </w:rPr>
              <w:t>.6</w:t>
            </w:r>
          </w:p>
        </w:tc>
      </w:tr>
      <w:tr w14:paraId="4B8C83E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00" w:type="pct"/>
            <w:vMerge w:val="continue"/>
            <w:vAlign w:val="center"/>
          </w:tcPr>
          <w:p w14:paraId="24EB58BE">
            <w:pPr>
              <w:widowControl/>
              <w:jc w:val="center"/>
              <w:rPr>
                <w:rFonts w:asciiTheme="majorEastAsia" w:hAnsiTheme="majorEastAsia" w:eastAsiaTheme="majorEastAsia"/>
                <w:kern w:val="0"/>
                <w:sz w:val="21"/>
                <w:szCs w:val="21"/>
              </w:rPr>
            </w:pPr>
          </w:p>
        </w:tc>
        <w:tc>
          <w:tcPr>
            <w:tcW w:w="1870" w:type="pct"/>
            <w:gridSpan w:val="3"/>
            <w:vAlign w:val="center"/>
          </w:tcPr>
          <w:p w14:paraId="0F2005A1">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仓储</w:t>
            </w:r>
            <w:r>
              <w:rPr>
                <w:rFonts w:hint="eastAsia" w:asciiTheme="majorEastAsia" w:hAnsiTheme="majorEastAsia" w:eastAsiaTheme="majorEastAsia"/>
                <w:kern w:val="0"/>
                <w:sz w:val="21"/>
                <w:szCs w:val="21"/>
              </w:rPr>
              <w:t>*</w:t>
            </w:r>
          </w:p>
        </w:tc>
        <w:tc>
          <w:tcPr>
            <w:tcW w:w="1051" w:type="pct"/>
            <w:vAlign w:val="center"/>
          </w:tcPr>
          <w:p w14:paraId="37A2ED21">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车位/100</w:t>
            </w:r>
            <w:r>
              <w:rPr>
                <w:rFonts w:hint="eastAsia" w:asciiTheme="majorEastAsia" w:hAnsiTheme="majorEastAsia" w:eastAsiaTheme="majorEastAsia"/>
                <w:kern w:val="0"/>
                <w:sz w:val="21"/>
                <w:szCs w:val="21"/>
              </w:rPr>
              <w:t xml:space="preserve"> m</w:t>
            </w:r>
            <w:r>
              <w:rPr>
                <w:rFonts w:asciiTheme="majorEastAsia" w:hAnsiTheme="majorEastAsia" w:eastAsiaTheme="majorEastAsia"/>
                <w:kern w:val="0"/>
                <w:sz w:val="21"/>
                <w:szCs w:val="21"/>
                <w:vertAlign w:val="superscript"/>
              </w:rPr>
              <w:t>2</w:t>
            </w:r>
            <w:r>
              <w:rPr>
                <w:rFonts w:asciiTheme="majorEastAsia" w:hAnsiTheme="majorEastAsia" w:eastAsiaTheme="majorEastAsia"/>
                <w:kern w:val="0"/>
                <w:sz w:val="21"/>
                <w:szCs w:val="21"/>
              </w:rPr>
              <w:t>建筑面积</w:t>
            </w:r>
          </w:p>
        </w:tc>
        <w:tc>
          <w:tcPr>
            <w:tcW w:w="758" w:type="pct"/>
            <w:gridSpan w:val="2"/>
            <w:vAlign w:val="center"/>
          </w:tcPr>
          <w:p w14:paraId="3F506176">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w:t>
            </w:r>
          </w:p>
        </w:tc>
        <w:tc>
          <w:tcPr>
            <w:tcW w:w="475" w:type="pct"/>
            <w:vAlign w:val="center"/>
          </w:tcPr>
          <w:p w14:paraId="29F4ED0E">
            <w:pPr>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0.4</w:t>
            </w:r>
          </w:p>
        </w:tc>
        <w:tc>
          <w:tcPr>
            <w:tcW w:w="446" w:type="pct"/>
            <w:vAlign w:val="center"/>
          </w:tcPr>
          <w:p w14:paraId="2B448467">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0.4</w:t>
            </w:r>
          </w:p>
        </w:tc>
      </w:tr>
      <w:tr w14:paraId="02AFC34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00" w:type="pct"/>
            <w:vMerge w:val="restart"/>
            <w:vAlign w:val="center"/>
          </w:tcPr>
          <w:p w14:paraId="2AA1408C">
            <w:pPr>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交通枢纽</w:t>
            </w:r>
          </w:p>
        </w:tc>
        <w:tc>
          <w:tcPr>
            <w:tcW w:w="1870" w:type="pct"/>
            <w:gridSpan w:val="3"/>
            <w:vAlign w:val="center"/>
          </w:tcPr>
          <w:p w14:paraId="1158E3E5">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汽车站</w:t>
            </w:r>
            <w:r>
              <w:rPr>
                <w:rFonts w:hint="eastAsia" w:asciiTheme="majorEastAsia" w:hAnsiTheme="majorEastAsia" w:eastAsiaTheme="majorEastAsia"/>
                <w:kern w:val="0"/>
                <w:sz w:val="21"/>
                <w:szCs w:val="21"/>
              </w:rPr>
              <w:t>*</w:t>
            </w:r>
          </w:p>
        </w:tc>
        <w:tc>
          <w:tcPr>
            <w:tcW w:w="1051" w:type="pct"/>
            <w:vMerge w:val="restart"/>
            <w:vAlign w:val="center"/>
          </w:tcPr>
          <w:p w14:paraId="12C43185">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车位/</w:t>
            </w:r>
            <w:r>
              <w:rPr>
                <w:rFonts w:hint="eastAsia" w:asciiTheme="majorEastAsia" w:hAnsiTheme="majorEastAsia" w:eastAsiaTheme="majorEastAsia"/>
                <w:kern w:val="0"/>
                <w:sz w:val="21"/>
                <w:szCs w:val="21"/>
              </w:rPr>
              <w:t>设计年度最高聚集人数</w:t>
            </w:r>
          </w:p>
        </w:tc>
        <w:tc>
          <w:tcPr>
            <w:tcW w:w="758" w:type="pct"/>
            <w:gridSpan w:val="2"/>
            <w:vAlign w:val="center"/>
          </w:tcPr>
          <w:p w14:paraId="38D2BC0B">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w:t>
            </w:r>
          </w:p>
        </w:tc>
        <w:tc>
          <w:tcPr>
            <w:tcW w:w="475" w:type="pct"/>
            <w:vAlign w:val="center"/>
          </w:tcPr>
          <w:p w14:paraId="1FB3FA9E">
            <w:pPr>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w:t>
            </w:r>
            <w:r>
              <w:rPr>
                <w:rFonts w:hint="eastAsia" w:asciiTheme="majorEastAsia" w:hAnsiTheme="majorEastAsia" w:eastAsiaTheme="majorEastAsia"/>
                <w:kern w:val="0"/>
                <w:sz w:val="21"/>
                <w:szCs w:val="21"/>
              </w:rPr>
              <w:t>.</w:t>
            </w:r>
            <w:r>
              <w:rPr>
                <w:rFonts w:asciiTheme="majorEastAsia" w:hAnsiTheme="majorEastAsia" w:eastAsiaTheme="majorEastAsia"/>
                <w:kern w:val="0"/>
                <w:sz w:val="21"/>
                <w:szCs w:val="21"/>
              </w:rPr>
              <w:t>2</w:t>
            </w:r>
          </w:p>
        </w:tc>
        <w:tc>
          <w:tcPr>
            <w:tcW w:w="446" w:type="pct"/>
            <w:vAlign w:val="center"/>
          </w:tcPr>
          <w:p w14:paraId="7E314106">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0.2</w:t>
            </w:r>
          </w:p>
        </w:tc>
      </w:tr>
      <w:tr w14:paraId="2EC0E00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00" w:type="pct"/>
            <w:vMerge w:val="continue"/>
            <w:vAlign w:val="center"/>
          </w:tcPr>
          <w:p w14:paraId="54C342AF">
            <w:pPr>
              <w:widowControl/>
              <w:jc w:val="center"/>
              <w:rPr>
                <w:rFonts w:asciiTheme="majorEastAsia" w:hAnsiTheme="majorEastAsia" w:eastAsiaTheme="majorEastAsia"/>
                <w:kern w:val="0"/>
                <w:sz w:val="21"/>
                <w:szCs w:val="21"/>
              </w:rPr>
            </w:pPr>
          </w:p>
        </w:tc>
        <w:tc>
          <w:tcPr>
            <w:tcW w:w="1870" w:type="pct"/>
            <w:gridSpan w:val="3"/>
            <w:vAlign w:val="center"/>
          </w:tcPr>
          <w:p w14:paraId="7EEF3E0F">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火车站</w:t>
            </w:r>
            <w:r>
              <w:rPr>
                <w:rFonts w:hint="eastAsia" w:asciiTheme="majorEastAsia" w:hAnsiTheme="majorEastAsia" w:eastAsiaTheme="majorEastAsia"/>
                <w:kern w:val="0"/>
                <w:sz w:val="21"/>
                <w:szCs w:val="21"/>
              </w:rPr>
              <w:t>*</w:t>
            </w:r>
          </w:p>
        </w:tc>
        <w:tc>
          <w:tcPr>
            <w:tcW w:w="1051" w:type="pct"/>
            <w:vMerge w:val="continue"/>
            <w:vAlign w:val="center"/>
          </w:tcPr>
          <w:p w14:paraId="5E860C14">
            <w:pPr>
              <w:widowControl/>
              <w:jc w:val="center"/>
              <w:rPr>
                <w:rFonts w:asciiTheme="majorEastAsia" w:hAnsiTheme="majorEastAsia" w:eastAsiaTheme="majorEastAsia"/>
                <w:kern w:val="0"/>
                <w:sz w:val="21"/>
                <w:szCs w:val="21"/>
              </w:rPr>
            </w:pPr>
          </w:p>
        </w:tc>
        <w:tc>
          <w:tcPr>
            <w:tcW w:w="758" w:type="pct"/>
            <w:gridSpan w:val="2"/>
            <w:vAlign w:val="center"/>
          </w:tcPr>
          <w:p w14:paraId="2C0BAFB3">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w:t>
            </w:r>
          </w:p>
        </w:tc>
        <w:tc>
          <w:tcPr>
            <w:tcW w:w="475" w:type="pct"/>
            <w:vAlign w:val="center"/>
          </w:tcPr>
          <w:p w14:paraId="00E0C639">
            <w:pPr>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0.2</w:t>
            </w:r>
          </w:p>
        </w:tc>
        <w:tc>
          <w:tcPr>
            <w:tcW w:w="446" w:type="pct"/>
            <w:vAlign w:val="center"/>
          </w:tcPr>
          <w:p w14:paraId="4BB45F93">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0.2</w:t>
            </w:r>
          </w:p>
        </w:tc>
      </w:tr>
      <w:tr w14:paraId="6ECBDBB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00" w:type="pct"/>
            <w:vMerge w:val="restart"/>
            <w:vAlign w:val="center"/>
          </w:tcPr>
          <w:p w14:paraId="0591F4EE">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轨道交通车站</w:t>
            </w:r>
          </w:p>
        </w:tc>
        <w:tc>
          <w:tcPr>
            <w:tcW w:w="1870" w:type="pct"/>
            <w:gridSpan w:val="3"/>
            <w:vAlign w:val="center"/>
          </w:tcPr>
          <w:p w14:paraId="1BF86761">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轨道一般站</w:t>
            </w:r>
          </w:p>
        </w:tc>
        <w:tc>
          <w:tcPr>
            <w:tcW w:w="1051" w:type="pct"/>
            <w:vMerge w:val="restart"/>
            <w:vAlign w:val="center"/>
          </w:tcPr>
          <w:p w14:paraId="6CF14585">
            <w:pPr>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车位/100名远期高峰小时旅客</w:t>
            </w:r>
          </w:p>
        </w:tc>
        <w:tc>
          <w:tcPr>
            <w:tcW w:w="1679" w:type="pct"/>
            <w:gridSpan w:val="4"/>
            <w:vAlign w:val="center"/>
          </w:tcPr>
          <w:p w14:paraId="542A0A83">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w:t>
            </w:r>
          </w:p>
        </w:tc>
      </w:tr>
      <w:tr w14:paraId="56C6337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00" w:type="pct"/>
            <w:vMerge w:val="continue"/>
            <w:vAlign w:val="center"/>
          </w:tcPr>
          <w:p w14:paraId="7FF96104">
            <w:pPr>
              <w:widowControl/>
              <w:jc w:val="center"/>
              <w:rPr>
                <w:rFonts w:asciiTheme="majorEastAsia" w:hAnsiTheme="majorEastAsia" w:eastAsiaTheme="majorEastAsia"/>
                <w:kern w:val="0"/>
                <w:sz w:val="21"/>
                <w:szCs w:val="21"/>
              </w:rPr>
            </w:pPr>
          </w:p>
        </w:tc>
        <w:tc>
          <w:tcPr>
            <w:tcW w:w="1870" w:type="pct"/>
            <w:gridSpan w:val="3"/>
            <w:vAlign w:val="center"/>
          </w:tcPr>
          <w:p w14:paraId="16A3540B">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轨道换乘站</w:t>
            </w:r>
          </w:p>
        </w:tc>
        <w:tc>
          <w:tcPr>
            <w:tcW w:w="1051" w:type="pct"/>
            <w:vMerge w:val="continue"/>
            <w:vAlign w:val="center"/>
          </w:tcPr>
          <w:p w14:paraId="76E6B277">
            <w:pPr>
              <w:jc w:val="center"/>
              <w:rPr>
                <w:rFonts w:asciiTheme="majorEastAsia" w:hAnsiTheme="majorEastAsia" w:eastAsiaTheme="majorEastAsia"/>
                <w:kern w:val="0"/>
                <w:sz w:val="21"/>
                <w:szCs w:val="21"/>
              </w:rPr>
            </w:pPr>
          </w:p>
        </w:tc>
        <w:tc>
          <w:tcPr>
            <w:tcW w:w="1233" w:type="pct"/>
            <w:gridSpan w:val="3"/>
            <w:vAlign w:val="center"/>
          </w:tcPr>
          <w:p w14:paraId="1F81258A">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w:t>
            </w:r>
          </w:p>
        </w:tc>
        <w:tc>
          <w:tcPr>
            <w:tcW w:w="446" w:type="pct"/>
            <w:vAlign w:val="center"/>
          </w:tcPr>
          <w:p w14:paraId="2B997B9C">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0.3</w:t>
            </w:r>
          </w:p>
        </w:tc>
      </w:tr>
      <w:tr w14:paraId="27835B0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400" w:type="pct"/>
            <w:vMerge w:val="continue"/>
            <w:vAlign w:val="center"/>
          </w:tcPr>
          <w:p w14:paraId="6830DCC4">
            <w:pPr>
              <w:widowControl/>
              <w:jc w:val="center"/>
              <w:rPr>
                <w:rFonts w:asciiTheme="majorEastAsia" w:hAnsiTheme="majorEastAsia" w:eastAsiaTheme="majorEastAsia"/>
                <w:kern w:val="0"/>
                <w:sz w:val="21"/>
                <w:szCs w:val="21"/>
              </w:rPr>
            </w:pPr>
          </w:p>
        </w:tc>
        <w:tc>
          <w:tcPr>
            <w:tcW w:w="1870" w:type="pct"/>
            <w:gridSpan w:val="3"/>
            <w:vAlign w:val="center"/>
          </w:tcPr>
          <w:p w14:paraId="59CC0BA2">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轨道枢纽站</w:t>
            </w:r>
          </w:p>
        </w:tc>
        <w:tc>
          <w:tcPr>
            <w:tcW w:w="1051" w:type="pct"/>
            <w:vMerge w:val="continue"/>
            <w:vAlign w:val="center"/>
          </w:tcPr>
          <w:p w14:paraId="44CBEAEF">
            <w:pPr>
              <w:widowControl/>
              <w:jc w:val="center"/>
              <w:rPr>
                <w:rFonts w:asciiTheme="majorEastAsia" w:hAnsiTheme="majorEastAsia" w:eastAsiaTheme="majorEastAsia"/>
                <w:kern w:val="0"/>
                <w:sz w:val="21"/>
                <w:szCs w:val="21"/>
              </w:rPr>
            </w:pPr>
          </w:p>
        </w:tc>
        <w:tc>
          <w:tcPr>
            <w:tcW w:w="1233" w:type="pct"/>
            <w:gridSpan w:val="3"/>
            <w:vAlign w:val="center"/>
          </w:tcPr>
          <w:p w14:paraId="55194BF5">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w:t>
            </w:r>
          </w:p>
        </w:tc>
        <w:tc>
          <w:tcPr>
            <w:tcW w:w="446" w:type="pct"/>
            <w:vAlign w:val="center"/>
          </w:tcPr>
          <w:p w14:paraId="6DD70EF9">
            <w:pPr>
              <w:widowControl/>
              <w:jc w:val="center"/>
              <w:rPr>
                <w:rFonts w:asciiTheme="majorEastAsia" w:hAnsiTheme="majorEastAsia" w:eastAsiaTheme="majorEastAsia"/>
                <w:kern w:val="0"/>
                <w:sz w:val="21"/>
                <w:szCs w:val="21"/>
              </w:rPr>
            </w:pPr>
            <w:r>
              <w:rPr>
                <w:rFonts w:asciiTheme="majorEastAsia" w:hAnsiTheme="majorEastAsia" w:eastAsiaTheme="majorEastAsia"/>
                <w:kern w:val="0"/>
                <w:sz w:val="21"/>
                <w:szCs w:val="21"/>
              </w:rPr>
              <w:t>0.4</w:t>
            </w:r>
          </w:p>
        </w:tc>
      </w:tr>
      <w:bookmarkEnd w:id="20"/>
    </w:tbl>
    <w:p w14:paraId="06FBC878">
      <w:pPr>
        <w:spacing w:line="380" w:lineRule="exact"/>
        <w:rPr>
          <w:rFonts w:asciiTheme="majorEastAsia" w:hAnsiTheme="majorEastAsia" w:eastAsiaTheme="majorEastAsia"/>
          <w:sz w:val="21"/>
          <w:szCs w:val="21"/>
        </w:rPr>
      </w:pPr>
      <w:r>
        <w:rPr>
          <w:rFonts w:hint="eastAsia" w:asciiTheme="majorEastAsia" w:hAnsiTheme="majorEastAsia" w:eastAsiaTheme="majorEastAsia"/>
          <w:sz w:val="21"/>
          <w:szCs w:val="21"/>
        </w:rPr>
        <w:t>注：</w:t>
      </w:r>
    </w:p>
    <w:p w14:paraId="2538BF33">
      <w:pPr>
        <w:spacing w:line="380" w:lineRule="exact"/>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（1）表中标注*的建筑类型为特殊类型建筑；</w:t>
      </w:r>
    </w:p>
    <w:p w14:paraId="67CDCE27">
      <w:pPr>
        <w:spacing w:line="380" w:lineRule="exact"/>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（2）住宅S建</w:t>
      </w:r>
      <w:r>
        <w:rPr>
          <w:rFonts w:asciiTheme="majorEastAsia" w:hAnsiTheme="majorEastAsia" w:eastAsiaTheme="majorEastAsia"/>
          <w:sz w:val="21"/>
          <w:szCs w:val="21"/>
        </w:rPr>
        <w:t>≤</w:t>
      </w:r>
      <w:r>
        <w:rPr>
          <w:rFonts w:hint="eastAsia" w:asciiTheme="majorEastAsia" w:hAnsiTheme="majorEastAsia" w:eastAsiaTheme="majorEastAsia"/>
          <w:sz w:val="21"/>
          <w:szCs w:val="21"/>
        </w:rPr>
        <w:t>70 m</w:t>
      </w:r>
      <w:r>
        <w:rPr>
          <w:rFonts w:hint="eastAsia" w:asciiTheme="majorEastAsia" w:hAnsiTheme="majorEastAsia" w:eastAsiaTheme="majorEastAsia"/>
          <w:sz w:val="21"/>
          <w:szCs w:val="21"/>
          <w:vertAlign w:val="superscript"/>
        </w:rPr>
        <w:t>2</w:t>
      </w:r>
      <w:r>
        <w:rPr>
          <w:rFonts w:hint="eastAsia" w:asciiTheme="majorEastAsia" w:hAnsiTheme="majorEastAsia" w:eastAsiaTheme="majorEastAsia"/>
          <w:sz w:val="21"/>
          <w:szCs w:val="21"/>
        </w:rPr>
        <w:t>的户型，其配建指标可按未分户型计算；</w:t>
      </w:r>
    </w:p>
    <w:p w14:paraId="485FDC53">
      <w:pPr>
        <w:spacing w:line="380" w:lineRule="exact"/>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（3）建筑物附属配套餐饮娱乐设施可按照独立指标的80%执行，但不再使用混合建筑车位折减；</w:t>
      </w:r>
    </w:p>
    <w:p w14:paraId="013C0390">
      <w:pPr>
        <w:spacing w:line="380" w:lineRule="exact"/>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（4）文中的“轨道交通站”按照《城市轨道交通线网规划标准》（GB/T 50546-2018）确定；</w:t>
      </w:r>
    </w:p>
    <w:p w14:paraId="720EC4D0">
      <w:pPr>
        <w:spacing w:line="380" w:lineRule="exact"/>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（5）轨道交通车站中的轨道换乘站指有两条轨道交通通过的车站，轨道枢纽站指3条及3条以上轨道交通通过的车站；</w:t>
      </w:r>
    </w:p>
    <w:p w14:paraId="014CCBED">
      <w:pPr>
        <w:spacing w:line="380" w:lineRule="exact"/>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w:t>
      </w:r>
      <w:r>
        <w:rPr>
          <w:rFonts w:asciiTheme="majorEastAsia" w:hAnsiTheme="majorEastAsia" w:eastAsiaTheme="majorEastAsia"/>
          <w:sz w:val="21"/>
          <w:szCs w:val="21"/>
        </w:rPr>
        <w:t>6</w:t>
      </w:r>
      <w:r>
        <w:rPr>
          <w:rFonts w:hint="eastAsia" w:asciiTheme="majorEastAsia" w:hAnsiTheme="majorEastAsia" w:eastAsiaTheme="majorEastAsia"/>
          <w:sz w:val="21"/>
          <w:szCs w:val="21"/>
        </w:rPr>
        <w:t>）大型体育场馆是指具有一定规模座位数的体育设施，小型体育场馆是指基本无座位数的体育设施；</w:t>
      </w:r>
    </w:p>
    <w:p w14:paraId="664FBCCE">
      <w:pPr>
        <w:spacing w:line="380" w:lineRule="exact"/>
        <w:ind w:firstLine="420" w:firstLineChars="200"/>
        <w:outlineLvl w:val="0"/>
        <w:rPr>
          <w:rFonts w:asciiTheme="majorEastAsia" w:hAnsiTheme="majorEastAsia" w:eastAsiaTheme="majorEastAsia"/>
          <w:sz w:val="21"/>
          <w:szCs w:val="21"/>
        </w:rPr>
      </w:pPr>
      <w:r>
        <w:rPr>
          <w:rFonts w:hint="eastAsia" w:asciiTheme="majorEastAsia" w:hAnsiTheme="majorEastAsia" w:eastAsiaTheme="majorEastAsia"/>
          <w:sz w:val="21"/>
          <w:szCs w:val="21"/>
        </w:rPr>
        <w:t>（</w:t>
      </w:r>
      <w:r>
        <w:rPr>
          <w:rFonts w:asciiTheme="majorEastAsia" w:hAnsiTheme="majorEastAsia" w:eastAsiaTheme="majorEastAsia"/>
          <w:sz w:val="21"/>
          <w:szCs w:val="21"/>
        </w:rPr>
        <w:t>7</w:t>
      </w:r>
      <w:r>
        <w:rPr>
          <w:rFonts w:hint="eastAsia" w:asciiTheme="majorEastAsia" w:hAnsiTheme="majorEastAsia" w:eastAsiaTheme="majorEastAsia"/>
          <w:sz w:val="21"/>
          <w:szCs w:val="21"/>
        </w:rPr>
        <w:t>）</w:t>
      </w:r>
      <w:bookmarkStart w:id="27" w:name="_Hlk13764834"/>
      <w:r>
        <w:rPr>
          <w:rFonts w:hint="eastAsia" w:asciiTheme="majorEastAsia" w:hAnsiTheme="majorEastAsia" w:eastAsiaTheme="majorEastAsia"/>
          <w:sz w:val="21"/>
          <w:szCs w:val="21"/>
        </w:rPr>
        <w:t>养老院、康复中心停车位指标参照疗养院停车位指标执行；</w:t>
      </w:r>
      <w:bookmarkEnd w:id="27"/>
    </w:p>
    <w:p w14:paraId="446F2898">
      <w:pPr>
        <w:spacing w:line="380" w:lineRule="exact"/>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w:t>
      </w:r>
      <w:r>
        <w:rPr>
          <w:rFonts w:asciiTheme="majorEastAsia" w:hAnsiTheme="majorEastAsia" w:eastAsiaTheme="majorEastAsia"/>
          <w:sz w:val="21"/>
          <w:szCs w:val="21"/>
        </w:rPr>
        <w:t>8</w:t>
      </w:r>
      <w:r>
        <w:rPr>
          <w:rFonts w:hint="eastAsia" w:asciiTheme="majorEastAsia" w:hAnsiTheme="majorEastAsia" w:eastAsiaTheme="majorEastAsia"/>
          <w:sz w:val="21"/>
          <w:szCs w:val="21"/>
        </w:rPr>
        <w:t>）文中的“设计年度最高聚集人数”采用该汽车站、火车站工程可行性研究报告的数值；“远期高峰小时旅客”采用该轨道线路的工程可行性研究报告的数值；</w:t>
      </w:r>
    </w:p>
    <w:p w14:paraId="698F6A52">
      <w:pPr>
        <w:spacing w:line="380" w:lineRule="exact"/>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w:t>
      </w:r>
      <w:r>
        <w:rPr>
          <w:rFonts w:asciiTheme="majorEastAsia" w:hAnsiTheme="majorEastAsia" w:eastAsiaTheme="majorEastAsia"/>
          <w:sz w:val="21"/>
          <w:szCs w:val="21"/>
        </w:rPr>
        <w:t>9</w:t>
      </w:r>
      <w:r>
        <w:rPr>
          <w:rFonts w:hint="eastAsia" w:asciiTheme="majorEastAsia" w:hAnsiTheme="majorEastAsia" w:eastAsiaTheme="majorEastAsia"/>
          <w:sz w:val="21"/>
          <w:szCs w:val="21"/>
        </w:rPr>
        <w:t>）不在附表1中的建筑物类别经规划资源局认可后，可开展交通影响分析确定适宜的配建停车标准。</w:t>
      </w:r>
    </w:p>
    <w:p w14:paraId="2E10884C">
      <w:pPr>
        <w:spacing w:line="600" w:lineRule="exact"/>
        <w:rPr>
          <w:rFonts w:eastAsia="方正书宋_GBK"/>
          <w:sz w:val="21"/>
          <w:szCs w:val="21"/>
        </w:rPr>
      </w:pPr>
    </w:p>
    <w:p w14:paraId="608D197C">
      <w:pPr>
        <w:spacing w:line="600" w:lineRule="exact"/>
        <w:rPr>
          <w:rFonts w:eastAsia="方正书宋_GBK"/>
          <w:sz w:val="21"/>
          <w:szCs w:val="21"/>
        </w:rPr>
      </w:pPr>
    </w:p>
    <w:p w14:paraId="4B11AC1D">
      <w:pPr>
        <w:spacing w:line="600" w:lineRule="exact"/>
        <w:rPr>
          <w:rFonts w:eastAsia="方正书宋_GBK"/>
          <w:sz w:val="21"/>
          <w:szCs w:val="21"/>
        </w:rPr>
      </w:pPr>
    </w:p>
    <w:p w14:paraId="2034D960">
      <w:pPr>
        <w:spacing w:line="600" w:lineRule="exact"/>
        <w:rPr>
          <w:rFonts w:eastAsia="方正书宋_GBK"/>
          <w:sz w:val="21"/>
          <w:szCs w:val="21"/>
        </w:rPr>
      </w:pPr>
    </w:p>
    <w:p w14:paraId="68514A83">
      <w:pPr>
        <w:spacing w:line="600" w:lineRule="exact"/>
        <w:rPr>
          <w:rFonts w:eastAsia="方正书宋_GBK"/>
          <w:sz w:val="21"/>
          <w:szCs w:val="21"/>
        </w:rPr>
      </w:pPr>
    </w:p>
    <w:p w14:paraId="6DFD09AB">
      <w:pPr>
        <w:spacing w:line="600" w:lineRule="exact"/>
        <w:rPr>
          <w:rFonts w:eastAsia="方正书宋_GBK"/>
          <w:sz w:val="21"/>
          <w:szCs w:val="21"/>
        </w:rPr>
      </w:pPr>
    </w:p>
    <w:p w14:paraId="747A8988">
      <w:pPr>
        <w:spacing w:line="600" w:lineRule="exact"/>
        <w:rPr>
          <w:rFonts w:eastAsia="方正书宋_GBK"/>
          <w:sz w:val="21"/>
          <w:szCs w:val="21"/>
        </w:rPr>
      </w:pPr>
    </w:p>
    <w:p w14:paraId="7E5BDA63">
      <w:pPr>
        <w:spacing w:line="600" w:lineRule="exact"/>
        <w:rPr>
          <w:rFonts w:eastAsia="方正书宋_GBK"/>
          <w:sz w:val="21"/>
          <w:szCs w:val="21"/>
        </w:rPr>
      </w:pPr>
    </w:p>
    <w:p w14:paraId="6D78103B">
      <w:pPr>
        <w:spacing w:line="360" w:lineRule="auto"/>
        <w:rPr>
          <w:rFonts w:ascii="方正黑体_GBK" w:eastAsia="方正黑体_GBK"/>
          <w:sz w:val="32"/>
          <w:szCs w:val="32"/>
        </w:rPr>
      </w:pPr>
      <w:r>
        <w:rPr>
          <w:rFonts w:hint="eastAsia" w:ascii="方正黑体_GBK" w:eastAsia="方正黑体_GBK"/>
          <w:sz w:val="32"/>
          <w:szCs w:val="32"/>
        </w:rPr>
        <w:t>附表2</w:t>
      </w:r>
    </w:p>
    <w:p w14:paraId="678A805F">
      <w:pPr>
        <w:spacing w:line="360" w:lineRule="auto"/>
        <w:jc w:val="center"/>
        <w:rPr>
          <w:b/>
          <w:sz w:val="24"/>
        </w:rPr>
      </w:pPr>
      <w:r>
        <w:rPr>
          <w:rFonts w:hint="eastAsia"/>
          <w:b/>
          <w:sz w:val="24"/>
        </w:rPr>
        <w:t>非机动车标准车位配建指标</w:t>
      </w:r>
    </w:p>
    <w:tbl>
      <w:tblPr>
        <w:tblStyle w:val="6"/>
        <w:tblW w:w="5384"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
        <w:gridCol w:w="1220"/>
        <w:gridCol w:w="2131"/>
        <w:gridCol w:w="2022"/>
        <w:gridCol w:w="949"/>
        <w:gridCol w:w="870"/>
        <w:gridCol w:w="986"/>
      </w:tblGrid>
      <w:tr w14:paraId="16CD141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blHeader/>
          <w:jc w:val="center"/>
        </w:trPr>
        <w:tc>
          <w:tcPr>
            <w:tcW w:w="2370" w:type="pct"/>
            <w:gridSpan w:val="3"/>
            <w:vMerge w:val="restart"/>
            <w:vAlign w:val="center"/>
          </w:tcPr>
          <w:p w14:paraId="4600037C">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建筑物类型</w:t>
            </w:r>
          </w:p>
        </w:tc>
        <w:tc>
          <w:tcPr>
            <w:tcW w:w="1102" w:type="pct"/>
            <w:vMerge w:val="restart"/>
            <w:vAlign w:val="center"/>
          </w:tcPr>
          <w:p w14:paraId="337FF285">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计算单位</w:t>
            </w:r>
          </w:p>
        </w:tc>
        <w:tc>
          <w:tcPr>
            <w:tcW w:w="1528" w:type="pct"/>
            <w:gridSpan w:val="3"/>
            <w:vAlign w:val="center"/>
          </w:tcPr>
          <w:p w14:paraId="4CDD0DC9">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非机动车</w:t>
            </w:r>
          </w:p>
        </w:tc>
      </w:tr>
      <w:tr w14:paraId="65D7C2B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blHeader/>
          <w:jc w:val="center"/>
        </w:trPr>
        <w:tc>
          <w:tcPr>
            <w:tcW w:w="2370" w:type="pct"/>
            <w:gridSpan w:val="3"/>
            <w:vMerge w:val="continue"/>
            <w:shd w:val="clear" w:color="auto" w:fill="FFFFFF"/>
            <w:vAlign w:val="center"/>
          </w:tcPr>
          <w:p w14:paraId="33DF6E30">
            <w:pPr>
              <w:widowControl/>
              <w:jc w:val="center"/>
              <w:rPr>
                <w:rFonts w:asciiTheme="minorEastAsia" w:hAnsiTheme="minorEastAsia" w:eastAsiaTheme="minorEastAsia"/>
                <w:kern w:val="0"/>
                <w:sz w:val="21"/>
                <w:szCs w:val="21"/>
              </w:rPr>
            </w:pPr>
          </w:p>
        </w:tc>
        <w:tc>
          <w:tcPr>
            <w:tcW w:w="1102" w:type="pct"/>
            <w:vMerge w:val="continue"/>
            <w:shd w:val="clear" w:color="auto" w:fill="FFFFFF"/>
            <w:vAlign w:val="center"/>
          </w:tcPr>
          <w:p w14:paraId="406C98CA">
            <w:pPr>
              <w:widowControl/>
              <w:jc w:val="center"/>
              <w:rPr>
                <w:rFonts w:asciiTheme="minorEastAsia" w:hAnsiTheme="minorEastAsia" w:eastAsiaTheme="minorEastAsia"/>
                <w:kern w:val="0"/>
                <w:sz w:val="21"/>
                <w:szCs w:val="21"/>
              </w:rPr>
            </w:pPr>
          </w:p>
        </w:tc>
        <w:tc>
          <w:tcPr>
            <w:tcW w:w="517" w:type="pct"/>
            <w:vAlign w:val="center"/>
          </w:tcPr>
          <w:p w14:paraId="7F53B72D">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一类区</w:t>
            </w:r>
          </w:p>
        </w:tc>
        <w:tc>
          <w:tcPr>
            <w:tcW w:w="474" w:type="pct"/>
            <w:vAlign w:val="center"/>
          </w:tcPr>
          <w:p w14:paraId="21745461">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二类区</w:t>
            </w:r>
          </w:p>
        </w:tc>
        <w:tc>
          <w:tcPr>
            <w:tcW w:w="537" w:type="pct"/>
            <w:vAlign w:val="center"/>
          </w:tcPr>
          <w:p w14:paraId="1F2DF287">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三类区</w:t>
            </w:r>
          </w:p>
        </w:tc>
      </w:tr>
      <w:tr w14:paraId="7123797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544" w:type="pct"/>
            <w:vMerge w:val="restart"/>
            <w:vAlign w:val="center"/>
          </w:tcPr>
          <w:p w14:paraId="4840B743">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住宅</w:t>
            </w:r>
          </w:p>
        </w:tc>
        <w:tc>
          <w:tcPr>
            <w:tcW w:w="665" w:type="pct"/>
            <w:vMerge w:val="restart"/>
            <w:vAlign w:val="center"/>
          </w:tcPr>
          <w:p w14:paraId="7035125D">
            <w:pPr>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商品房</w:t>
            </w:r>
            <w:r>
              <w:rPr>
                <w:rFonts w:hint="eastAsia" w:asciiTheme="minorEastAsia" w:hAnsiTheme="minorEastAsia" w:eastAsiaTheme="minorEastAsia"/>
                <w:kern w:val="0"/>
                <w:sz w:val="21"/>
                <w:szCs w:val="21"/>
              </w:rPr>
              <w:t>、共有产权房</w:t>
            </w:r>
          </w:p>
        </w:tc>
        <w:tc>
          <w:tcPr>
            <w:tcW w:w="1161" w:type="pct"/>
            <w:vAlign w:val="center"/>
          </w:tcPr>
          <w:p w14:paraId="0CDA9A16">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S建&gt;200</w:t>
            </w:r>
            <w:r>
              <w:rPr>
                <w:rFonts w:hint="eastAsia" w:asciiTheme="minorEastAsia" w:hAnsiTheme="minorEastAsia" w:eastAsiaTheme="minorEastAsia"/>
                <w:kern w:val="0"/>
                <w:sz w:val="21"/>
                <w:szCs w:val="21"/>
              </w:rPr>
              <w:t>m</w:t>
            </w:r>
            <w:r>
              <w:rPr>
                <w:rFonts w:asciiTheme="minorEastAsia" w:hAnsiTheme="minorEastAsia" w:eastAsiaTheme="minorEastAsia"/>
                <w:kern w:val="0"/>
                <w:sz w:val="21"/>
                <w:szCs w:val="21"/>
                <w:vertAlign w:val="superscript"/>
              </w:rPr>
              <w:t>2</w:t>
            </w:r>
          </w:p>
        </w:tc>
        <w:tc>
          <w:tcPr>
            <w:tcW w:w="1102" w:type="pct"/>
            <w:vAlign w:val="center"/>
          </w:tcPr>
          <w:p w14:paraId="29CC6D5C">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车位/户</w:t>
            </w:r>
          </w:p>
        </w:tc>
        <w:tc>
          <w:tcPr>
            <w:tcW w:w="1528" w:type="pct"/>
            <w:gridSpan w:val="3"/>
            <w:vAlign w:val="center"/>
          </w:tcPr>
          <w:p w14:paraId="640ED4C3">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0</w:t>
            </w:r>
          </w:p>
        </w:tc>
      </w:tr>
      <w:tr w14:paraId="4389AE0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544" w:type="pct"/>
            <w:vMerge w:val="continue"/>
            <w:vAlign w:val="center"/>
          </w:tcPr>
          <w:p w14:paraId="4310D522">
            <w:pPr>
              <w:widowControl/>
              <w:jc w:val="center"/>
              <w:rPr>
                <w:rFonts w:asciiTheme="minorEastAsia" w:hAnsiTheme="minorEastAsia" w:eastAsiaTheme="minorEastAsia"/>
                <w:kern w:val="0"/>
                <w:sz w:val="21"/>
                <w:szCs w:val="21"/>
              </w:rPr>
            </w:pPr>
          </w:p>
        </w:tc>
        <w:tc>
          <w:tcPr>
            <w:tcW w:w="665" w:type="pct"/>
            <w:vMerge w:val="continue"/>
            <w:vAlign w:val="center"/>
          </w:tcPr>
          <w:p w14:paraId="67D64F3A">
            <w:pPr>
              <w:widowControl/>
              <w:jc w:val="center"/>
              <w:rPr>
                <w:rFonts w:asciiTheme="minorEastAsia" w:hAnsiTheme="minorEastAsia" w:eastAsiaTheme="minorEastAsia"/>
                <w:kern w:val="0"/>
                <w:sz w:val="21"/>
                <w:szCs w:val="21"/>
              </w:rPr>
            </w:pPr>
          </w:p>
        </w:tc>
        <w:tc>
          <w:tcPr>
            <w:tcW w:w="1161" w:type="pct"/>
            <w:vAlign w:val="center"/>
          </w:tcPr>
          <w:p w14:paraId="450C4FAF">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144</w:t>
            </w:r>
            <w:r>
              <w:rPr>
                <w:rFonts w:hint="eastAsia" w:asciiTheme="minorEastAsia" w:hAnsiTheme="minorEastAsia" w:eastAsiaTheme="minorEastAsia"/>
                <w:kern w:val="0"/>
                <w:sz w:val="21"/>
                <w:szCs w:val="21"/>
              </w:rPr>
              <w:t xml:space="preserve"> m</w:t>
            </w:r>
            <w:r>
              <w:rPr>
                <w:rFonts w:asciiTheme="minorEastAsia" w:hAnsiTheme="minorEastAsia" w:eastAsiaTheme="minorEastAsia"/>
                <w:kern w:val="0"/>
                <w:sz w:val="21"/>
                <w:szCs w:val="21"/>
                <w:vertAlign w:val="superscript"/>
              </w:rPr>
              <w:t>2</w:t>
            </w:r>
            <w:r>
              <w:rPr>
                <w:rFonts w:asciiTheme="minorEastAsia" w:hAnsiTheme="minorEastAsia" w:eastAsiaTheme="minorEastAsia"/>
                <w:kern w:val="0"/>
                <w:sz w:val="21"/>
                <w:szCs w:val="21"/>
              </w:rPr>
              <w:t>&lt;S建≤200</w:t>
            </w:r>
            <w:r>
              <w:rPr>
                <w:rFonts w:hint="eastAsia" w:asciiTheme="minorEastAsia" w:hAnsiTheme="minorEastAsia" w:eastAsiaTheme="minorEastAsia"/>
                <w:kern w:val="0"/>
                <w:sz w:val="21"/>
                <w:szCs w:val="21"/>
              </w:rPr>
              <w:t xml:space="preserve"> m</w:t>
            </w:r>
            <w:r>
              <w:rPr>
                <w:rFonts w:asciiTheme="minorEastAsia" w:hAnsiTheme="minorEastAsia" w:eastAsiaTheme="minorEastAsia"/>
                <w:kern w:val="0"/>
                <w:sz w:val="21"/>
                <w:szCs w:val="21"/>
                <w:vertAlign w:val="superscript"/>
              </w:rPr>
              <w:t>2</w:t>
            </w:r>
          </w:p>
        </w:tc>
        <w:tc>
          <w:tcPr>
            <w:tcW w:w="1102" w:type="pct"/>
            <w:vAlign w:val="center"/>
          </w:tcPr>
          <w:p w14:paraId="1ABE233B">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车位/户</w:t>
            </w:r>
          </w:p>
        </w:tc>
        <w:tc>
          <w:tcPr>
            <w:tcW w:w="1528" w:type="pct"/>
            <w:gridSpan w:val="3"/>
            <w:vAlign w:val="center"/>
          </w:tcPr>
          <w:p w14:paraId="3AB62F5A">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1.5</w:t>
            </w:r>
          </w:p>
        </w:tc>
      </w:tr>
      <w:tr w14:paraId="6E9D76E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544" w:type="pct"/>
            <w:vMerge w:val="continue"/>
            <w:vAlign w:val="center"/>
          </w:tcPr>
          <w:p w14:paraId="55C1E2D9">
            <w:pPr>
              <w:widowControl/>
              <w:jc w:val="center"/>
              <w:rPr>
                <w:rFonts w:asciiTheme="minorEastAsia" w:hAnsiTheme="minorEastAsia" w:eastAsiaTheme="minorEastAsia"/>
                <w:kern w:val="0"/>
                <w:sz w:val="21"/>
                <w:szCs w:val="21"/>
              </w:rPr>
            </w:pPr>
          </w:p>
        </w:tc>
        <w:tc>
          <w:tcPr>
            <w:tcW w:w="665" w:type="pct"/>
            <w:vMerge w:val="continue"/>
            <w:vAlign w:val="center"/>
          </w:tcPr>
          <w:p w14:paraId="178F3485">
            <w:pPr>
              <w:widowControl/>
              <w:jc w:val="center"/>
              <w:rPr>
                <w:rFonts w:asciiTheme="minorEastAsia" w:hAnsiTheme="minorEastAsia" w:eastAsiaTheme="minorEastAsia"/>
                <w:kern w:val="0"/>
                <w:sz w:val="21"/>
                <w:szCs w:val="21"/>
              </w:rPr>
            </w:pPr>
          </w:p>
        </w:tc>
        <w:tc>
          <w:tcPr>
            <w:tcW w:w="1161" w:type="pct"/>
            <w:vAlign w:val="center"/>
          </w:tcPr>
          <w:p w14:paraId="51417287">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90</w:t>
            </w:r>
            <w:r>
              <w:rPr>
                <w:rFonts w:hint="eastAsia" w:asciiTheme="minorEastAsia" w:hAnsiTheme="minorEastAsia" w:eastAsiaTheme="minorEastAsia"/>
                <w:kern w:val="0"/>
                <w:sz w:val="21"/>
                <w:szCs w:val="21"/>
              </w:rPr>
              <w:t xml:space="preserve"> m</w:t>
            </w:r>
            <w:r>
              <w:rPr>
                <w:rFonts w:asciiTheme="minorEastAsia" w:hAnsiTheme="minorEastAsia" w:eastAsiaTheme="minorEastAsia"/>
                <w:kern w:val="0"/>
                <w:sz w:val="21"/>
                <w:szCs w:val="21"/>
                <w:vertAlign w:val="superscript"/>
              </w:rPr>
              <w:t>2</w:t>
            </w:r>
            <w:r>
              <w:rPr>
                <w:rFonts w:asciiTheme="minorEastAsia" w:hAnsiTheme="minorEastAsia" w:eastAsiaTheme="minorEastAsia"/>
                <w:kern w:val="0"/>
                <w:sz w:val="21"/>
                <w:szCs w:val="21"/>
              </w:rPr>
              <w:t>&lt;S建≤144</w:t>
            </w:r>
            <w:r>
              <w:rPr>
                <w:rFonts w:hint="eastAsia" w:asciiTheme="minorEastAsia" w:hAnsiTheme="minorEastAsia" w:eastAsiaTheme="minorEastAsia"/>
                <w:kern w:val="0"/>
                <w:sz w:val="21"/>
                <w:szCs w:val="21"/>
              </w:rPr>
              <w:t>m</w:t>
            </w:r>
            <w:r>
              <w:rPr>
                <w:rFonts w:asciiTheme="minorEastAsia" w:hAnsiTheme="minorEastAsia" w:eastAsiaTheme="minorEastAsia"/>
                <w:kern w:val="0"/>
                <w:sz w:val="21"/>
                <w:szCs w:val="21"/>
                <w:vertAlign w:val="superscript"/>
              </w:rPr>
              <w:t>2</w:t>
            </w:r>
          </w:p>
        </w:tc>
        <w:tc>
          <w:tcPr>
            <w:tcW w:w="1102" w:type="pct"/>
            <w:vAlign w:val="center"/>
          </w:tcPr>
          <w:p w14:paraId="09B9A022">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车位/户</w:t>
            </w:r>
          </w:p>
        </w:tc>
        <w:tc>
          <w:tcPr>
            <w:tcW w:w="1528" w:type="pct"/>
            <w:gridSpan w:val="3"/>
            <w:vAlign w:val="center"/>
          </w:tcPr>
          <w:p w14:paraId="3A55962A">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1.8</w:t>
            </w:r>
          </w:p>
        </w:tc>
      </w:tr>
      <w:tr w14:paraId="50128FE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544" w:type="pct"/>
            <w:vMerge w:val="continue"/>
            <w:vAlign w:val="center"/>
          </w:tcPr>
          <w:p w14:paraId="6959EEA4">
            <w:pPr>
              <w:widowControl/>
              <w:jc w:val="center"/>
              <w:rPr>
                <w:rFonts w:asciiTheme="minorEastAsia" w:hAnsiTheme="minorEastAsia" w:eastAsiaTheme="minorEastAsia"/>
                <w:kern w:val="0"/>
                <w:sz w:val="21"/>
                <w:szCs w:val="21"/>
              </w:rPr>
            </w:pPr>
          </w:p>
        </w:tc>
        <w:tc>
          <w:tcPr>
            <w:tcW w:w="665" w:type="pct"/>
            <w:vMerge w:val="continue"/>
            <w:vAlign w:val="center"/>
          </w:tcPr>
          <w:p w14:paraId="66C9F36D">
            <w:pPr>
              <w:widowControl/>
              <w:jc w:val="center"/>
              <w:rPr>
                <w:rFonts w:asciiTheme="minorEastAsia" w:hAnsiTheme="minorEastAsia" w:eastAsiaTheme="minorEastAsia"/>
                <w:kern w:val="0"/>
                <w:sz w:val="21"/>
                <w:szCs w:val="21"/>
              </w:rPr>
            </w:pPr>
          </w:p>
        </w:tc>
        <w:tc>
          <w:tcPr>
            <w:tcW w:w="1161" w:type="pct"/>
            <w:vAlign w:val="center"/>
          </w:tcPr>
          <w:p w14:paraId="6E044B66">
            <w:pPr>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S建≤90</w:t>
            </w:r>
            <w:r>
              <w:rPr>
                <w:rFonts w:hint="eastAsia" w:asciiTheme="minorEastAsia" w:hAnsiTheme="minorEastAsia" w:eastAsiaTheme="minorEastAsia"/>
                <w:kern w:val="0"/>
                <w:sz w:val="21"/>
                <w:szCs w:val="21"/>
              </w:rPr>
              <w:t>m</w:t>
            </w:r>
            <w:r>
              <w:rPr>
                <w:rFonts w:asciiTheme="minorEastAsia" w:hAnsiTheme="minorEastAsia" w:eastAsiaTheme="minorEastAsia"/>
                <w:kern w:val="0"/>
                <w:sz w:val="21"/>
                <w:szCs w:val="21"/>
                <w:vertAlign w:val="superscript"/>
              </w:rPr>
              <w:t>2</w:t>
            </w:r>
          </w:p>
        </w:tc>
        <w:tc>
          <w:tcPr>
            <w:tcW w:w="1102" w:type="pct"/>
            <w:vAlign w:val="center"/>
          </w:tcPr>
          <w:p w14:paraId="70F095FA">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车位/户</w:t>
            </w:r>
          </w:p>
        </w:tc>
        <w:tc>
          <w:tcPr>
            <w:tcW w:w="1528" w:type="pct"/>
            <w:gridSpan w:val="3"/>
            <w:vAlign w:val="center"/>
          </w:tcPr>
          <w:p w14:paraId="19C87E13">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1.8</w:t>
            </w:r>
          </w:p>
        </w:tc>
      </w:tr>
      <w:tr w14:paraId="19800CA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544" w:type="pct"/>
            <w:vMerge w:val="continue"/>
            <w:vAlign w:val="center"/>
          </w:tcPr>
          <w:p w14:paraId="1B2E0927">
            <w:pPr>
              <w:widowControl/>
              <w:jc w:val="center"/>
              <w:rPr>
                <w:rFonts w:asciiTheme="minorEastAsia" w:hAnsiTheme="minorEastAsia" w:eastAsiaTheme="minorEastAsia"/>
                <w:kern w:val="0"/>
                <w:sz w:val="21"/>
                <w:szCs w:val="21"/>
              </w:rPr>
            </w:pPr>
          </w:p>
        </w:tc>
        <w:tc>
          <w:tcPr>
            <w:tcW w:w="665" w:type="pct"/>
            <w:vMerge w:val="continue"/>
            <w:vAlign w:val="center"/>
          </w:tcPr>
          <w:p w14:paraId="1CF1B964">
            <w:pPr>
              <w:widowControl/>
              <w:jc w:val="center"/>
              <w:rPr>
                <w:rFonts w:asciiTheme="minorEastAsia" w:hAnsiTheme="minorEastAsia" w:eastAsiaTheme="minorEastAsia"/>
                <w:kern w:val="0"/>
                <w:sz w:val="21"/>
                <w:szCs w:val="21"/>
              </w:rPr>
            </w:pPr>
          </w:p>
        </w:tc>
        <w:tc>
          <w:tcPr>
            <w:tcW w:w="1161" w:type="pct"/>
            <w:vAlign w:val="center"/>
          </w:tcPr>
          <w:p w14:paraId="3E96E716">
            <w:pPr>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未分户</w:t>
            </w:r>
          </w:p>
        </w:tc>
        <w:tc>
          <w:tcPr>
            <w:tcW w:w="1102" w:type="pct"/>
            <w:vAlign w:val="center"/>
          </w:tcPr>
          <w:p w14:paraId="2BBA3691">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车位/100</w:t>
            </w:r>
            <w:r>
              <w:rPr>
                <w:rFonts w:hint="eastAsia" w:asciiTheme="minorEastAsia" w:hAnsiTheme="minorEastAsia" w:eastAsiaTheme="minorEastAsia"/>
                <w:kern w:val="0"/>
                <w:sz w:val="21"/>
                <w:szCs w:val="21"/>
              </w:rPr>
              <w:t xml:space="preserve"> m</w:t>
            </w:r>
            <w:r>
              <w:rPr>
                <w:rFonts w:asciiTheme="minorEastAsia" w:hAnsiTheme="minorEastAsia" w:eastAsiaTheme="minorEastAsia"/>
                <w:kern w:val="0"/>
                <w:sz w:val="21"/>
                <w:szCs w:val="21"/>
                <w:vertAlign w:val="superscript"/>
              </w:rPr>
              <w:t>2</w:t>
            </w:r>
            <w:r>
              <w:rPr>
                <w:rFonts w:asciiTheme="minorEastAsia" w:hAnsiTheme="minorEastAsia" w:eastAsiaTheme="minorEastAsia"/>
                <w:kern w:val="0"/>
                <w:sz w:val="21"/>
                <w:szCs w:val="21"/>
              </w:rPr>
              <w:t>建筑面积</w:t>
            </w:r>
          </w:p>
        </w:tc>
        <w:tc>
          <w:tcPr>
            <w:tcW w:w="1528" w:type="pct"/>
            <w:gridSpan w:val="3"/>
            <w:vAlign w:val="center"/>
          </w:tcPr>
          <w:p w14:paraId="07D37331">
            <w:pPr>
              <w:widowControl/>
              <w:jc w:val="center"/>
              <w:rPr>
                <w:rFonts w:asciiTheme="minorEastAsia" w:hAnsiTheme="minorEastAsia" w:eastAsiaTheme="minorEastAsia"/>
                <w:kern w:val="0"/>
                <w:sz w:val="21"/>
                <w:szCs w:val="21"/>
              </w:rPr>
            </w:pPr>
            <w:r>
              <w:rPr>
                <w:rFonts w:hint="eastAsia" w:asciiTheme="minorEastAsia" w:hAnsiTheme="minorEastAsia" w:eastAsiaTheme="minorEastAsia"/>
                <w:kern w:val="0"/>
                <w:sz w:val="21"/>
                <w:szCs w:val="21"/>
              </w:rPr>
              <w:t>2</w:t>
            </w:r>
            <w:r>
              <w:rPr>
                <w:rFonts w:asciiTheme="minorEastAsia" w:hAnsiTheme="minorEastAsia" w:eastAsiaTheme="minorEastAsia"/>
                <w:kern w:val="0"/>
                <w:sz w:val="21"/>
                <w:szCs w:val="21"/>
              </w:rPr>
              <w:t>.0</w:t>
            </w:r>
          </w:p>
        </w:tc>
      </w:tr>
      <w:tr w14:paraId="03AF0A3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544" w:type="pct"/>
            <w:vMerge w:val="continue"/>
            <w:vAlign w:val="center"/>
          </w:tcPr>
          <w:p w14:paraId="5CC19D7B">
            <w:pPr>
              <w:widowControl/>
              <w:jc w:val="center"/>
              <w:rPr>
                <w:rFonts w:asciiTheme="minorEastAsia" w:hAnsiTheme="minorEastAsia" w:eastAsiaTheme="minorEastAsia"/>
                <w:kern w:val="0"/>
                <w:sz w:val="21"/>
                <w:szCs w:val="21"/>
              </w:rPr>
            </w:pPr>
          </w:p>
        </w:tc>
        <w:tc>
          <w:tcPr>
            <w:tcW w:w="1826" w:type="pct"/>
            <w:gridSpan w:val="2"/>
            <w:vAlign w:val="center"/>
          </w:tcPr>
          <w:p w14:paraId="623E1B77">
            <w:pPr>
              <w:widowControl/>
              <w:jc w:val="center"/>
              <w:rPr>
                <w:rFonts w:asciiTheme="minorEastAsia" w:hAnsiTheme="minorEastAsia" w:eastAsiaTheme="minorEastAsia"/>
                <w:kern w:val="0"/>
                <w:sz w:val="21"/>
                <w:szCs w:val="21"/>
              </w:rPr>
            </w:pPr>
            <w:r>
              <w:rPr>
                <w:rFonts w:hint="eastAsia" w:asciiTheme="minorEastAsia" w:hAnsiTheme="minorEastAsia" w:eastAsiaTheme="minorEastAsia"/>
                <w:kern w:val="0"/>
                <w:sz w:val="21"/>
                <w:szCs w:val="21"/>
              </w:rPr>
              <w:t>租赁住房</w:t>
            </w:r>
          </w:p>
        </w:tc>
        <w:tc>
          <w:tcPr>
            <w:tcW w:w="2630" w:type="pct"/>
            <w:gridSpan w:val="4"/>
            <w:vAlign w:val="center"/>
          </w:tcPr>
          <w:p w14:paraId="4D5D6D8B">
            <w:pPr>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按照商品房指标执行</w:t>
            </w:r>
            <w:r>
              <w:rPr>
                <w:rFonts w:hint="eastAsia" w:asciiTheme="minorEastAsia" w:hAnsiTheme="minorEastAsia" w:eastAsiaTheme="minorEastAsia"/>
                <w:kern w:val="0"/>
                <w:sz w:val="21"/>
                <w:szCs w:val="21"/>
              </w:rPr>
              <w:t>；</w:t>
            </w:r>
          </w:p>
          <w:p w14:paraId="172A0665">
            <w:pPr>
              <w:jc w:val="center"/>
              <w:rPr>
                <w:rFonts w:asciiTheme="minorEastAsia" w:hAnsiTheme="minorEastAsia" w:eastAsiaTheme="minorEastAsia"/>
                <w:kern w:val="0"/>
                <w:sz w:val="21"/>
                <w:szCs w:val="21"/>
              </w:rPr>
            </w:pPr>
            <w:r>
              <w:rPr>
                <w:rFonts w:hint="eastAsia" w:asciiTheme="minorEastAsia" w:hAnsiTheme="minorEastAsia" w:eastAsiaTheme="minorEastAsia"/>
                <w:kern w:val="0"/>
                <w:sz w:val="21"/>
                <w:szCs w:val="21"/>
              </w:rPr>
              <w:t>其中，公共租赁住房按照2</w:t>
            </w:r>
            <w:r>
              <w:rPr>
                <w:rFonts w:asciiTheme="minorEastAsia" w:hAnsiTheme="minorEastAsia" w:eastAsiaTheme="minorEastAsia"/>
                <w:kern w:val="0"/>
                <w:sz w:val="21"/>
                <w:szCs w:val="21"/>
              </w:rPr>
              <w:t>.5车位/100</w:t>
            </w:r>
            <w:r>
              <w:rPr>
                <w:rFonts w:hint="eastAsia" w:asciiTheme="minorEastAsia" w:hAnsiTheme="minorEastAsia" w:eastAsiaTheme="minorEastAsia"/>
                <w:kern w:val="0"/>
                <w:sz w:val="21"/>
                <w:szCs w:val="21"/>
              </w:rPr>
              <w:t xml:space="preserve"> m</w:t>
            </w:r>
            <w:r>
              <w:rPr>
                <w:rFonts w:asciiTheme="minorEastAsia" w:hAnsiTheme="minorEastAsia" w:eastAsiaTheme="minorEastAsia"/>
                <w:kern w:val="0"/>
                <w:sz w:val="21"/>
                <w:szCs w:val="21"/>
                <w:vertAlign w:val="superscript"/>
              </w:rPr>
              <w:t>2</w:t>
            </w:r>
            <w:r>
              <w:rPr>
                <w:rFonts w:asciiTheme="minorEastAsia" w:hAnsiTheme="minorEastAsia" w:eastAsiaTheme="minorEastAsia"/>
                <w:kern w:val="0"/>
                <w:sz w:val="21"/>
                <w:szCs w:val="21"/>
              </w:rPr>
              <w:t>建筑面积</w:t>
            </w:r>
            <w:r>
              <w:rPr>
                <w:rFonts w:hint="eastAsia" w:asciiTheme="minorEastAsia" w:hAnsiTheme="minorEastAsia" w:eastAsiaTheme="minorEastAsia"/>
                <w:kern w:val="0"/>
                <w:sz w:val="21"/>
                <w:szCs w:val="21"/>
              </w:rPr>
              <w:t>执行</w:t>
            </w:r>
          </w:p>
        </w:tc>
      </w:tr>
      <w:tr w14:paraId="46DC17F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2370" w:type="pct"/>
            <w:gridSpan w:val="3"/>
            <w:vAlign w:val="center"/>
          </w:tcPr>
          <w:p w14:paraId="15BE7180">
            <w:pPr>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酒店式公寓</w:t>
            </w:r>
          </w:p>
        </w:tc>
        <w:tc>
          <w:tcPr>
            <w:tcW w:w="1102" w:type="pct"/>
            <w:vAlign w:val="center"/>
          </w:tcPr>
          <w:p w14:paraId="52C8EB92">
            <w:pPr>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车位/100</w:t>
            </w:r>
            <w:r>
              <w:rPr>
                <w:rFonts w:hint="eastAsia" w:asciiTheme="minorEastAsia" w:hAnsiTheme="minorEastAsia" w:eastAsiaTheme="minorEastAsia"/>
                <w:kern w:val="0"/>
                <w:sz w:val="21"/>
                <w:szCs w:val="21"/>
              </w:rPr>
              <w:t xml:space="preserve"> m</w:t>
            </w:r>
            <w:r>
              <w:rPr>
                <w:rFonts w:asciiTheme="minorEastAsia" w:hAnsiTheme="minorEastAsia" w:eastAsiaTheme="minorEastAsia"/>
                <w:kern w:val="0"/>
                <w:sz w:val="21"/>
                <w:szCs w:val="21"/>
                <w:vertAlign w:val="superscript"/>
              </w:rPr>
              <w:t>2</w:t>
            </w:r>
            <w:r>
              <w:rPr>
                <w:rFonts w:asciiTheme="minorEastAsia" w:hAnsiTheme="minorEastAsia" w:eastAsiaTheme="minorEastAsia"/>
                <w:kern w:val="0"/>
                <w:sz w:val="21"/>
                <w:szCs w:val="21"/>
              </w:rPr>
              <w:t>建筑面积</w:t>
            </w:r>
          </w:p>
        </w:tc>
        <w:tc>
          <w:tcPr>
            <w:tcW w:w="1528" w:type="pct"/>
            <w:gridSpan w:val="3"/>
            <w:vAlign w:val="center"/>
          </w:tcPr>
          <w:p w14:paraId="749EC359">
            <w:pPr>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2.0</w:t>
            </w:r>
          </w:p>
        </w:tc>
      </w:tr>
      <w:tr w14:paraId="421E785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2370" w:type="pct"/>
            <w:gridSpan w:val="3"/>
            <w:vAlign w:val="center"/>
          </w:tcPr>
          <w:p w14:paraId="41199CF7">
            <w:pPr>
              <w:jc w:val="center"/>
              <w:rPr>
                <w:rFonts w:asciiTheme="minorEastAsia" w:hAnsiTheme="minorEastAsia" w:eastAsiaTheme="minorEastAsia"/>
                <w:kern w:val="0"/>
                <w:sz w:val="21"/>
                <w:szCs w:val="21"/>
              </w:rPr>
            </w:pPr>
            <w:r>
              <w:rPr>
                <w:rFonts w:hint="eastAsia" w:asciiTheme="minorEastAsia" w:hAnsiTheme="minorEastAsia" w:eastAsiaTheme="minorEastAsia"/>
                <w:kern w:val="0"/>
                <w:sz w:val="21"/>
                <w:szCs w:val="21"/>
              </w:rPr>
              <w:t>集体宿舍</w:t>
            </w:r>
          </w:p>
        </w:tc>
        <w:tc>
          <w:tcPr>
            <w:tcW w:w="1102" w:type="pct"/>
            <w:vAlign w:val="center"/>
          </w:tcPr>
          <w:p w14:paraId="4A8F8912">
            <w:pPr>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车位/100</w:t>
            </w:r>
            <w:r>
              <w:rPr>
                <w:rFonts w:hint="eastAsia" w:asciiTheme="minorEastAsia" w:hAnsiTheme="minorEastAsia" w:eastAsiaTheme="minorEastAsia"/>
                <w:kern w:val="0"/>
                <w:sz w:val="21"/>
                <w:szCs w:val="21"/>
              </w:rPr>
              <w:t xml:space="preserve"> m</w:t>
            </w:r>
            <w:r>
              <w:rPr>
                <w:rFonts w:asciiTheme="minorEastAsia" w:hAnsiTheme="minorEastAsia" w:eastAsiaTheme="minorEastAsia"/>
                <w:kern w:val="0"/>
                <w:sz w:val="21"/>
                <w:szCs w:val="21"/>
                <w:vertAlign w:val="superscript"/>
              </w:rPr>
              <w:t>2</w:t>
            </w:r>
            <w:r>
              <w:rPr>
                <w:rFonts w:asciiTheme="minorEastAsia" w:hAnsiTheme="minorEastAsia" w:eastAsiaTheme="minorEastAsia"/>
                <w:kern w:val="0"/>
                <w:sz w:val="21"/>
                <w:szCs w:val="21"/>
              </w:rPr>
              <w:t>建筑面积</w:t>
            </w:r>
          </w:p>
        </w:tc>
        <w:tc>
          <w:tcPr>
            <w:tcW w:w="1528" w:type="pct"/>
            <w:gridSpan w:val="3"/>
            <w:vAlign w:val="center"/>
          </w:tcPr>
          <w:p w14:paraId="08AB262C">
            <w:pPr>
              <w:jc w:val="center"/>
              <w:rPr>
                <w:rFonts w:asciiTheme="minorEastAsia" w:hAnsiTheme="minorEastAsia" w:eastAsiaTheme="minorEastAsia"/>
                <w:kern w:val="0"/>
                <w:sz w:val="21"/>
                <w:szCs w:val="21"/>
              </w:rPr>
            </w:pPr>
            <w:r>
              <w:rPr>
                <w:rFonts w:hint="eastAsia" w:asciiTheme="minorEastAsia" w:hAnsiTheme="minorEastAsia" w:eastAsiaTheme="minorEastAsia"/>
                <w:kern w:val="0"/>
                <w:sz w:val="21"/>
                <w:szCs w:val="21"/>
              </w:rPr>
              <w:t>2</w:t>
            </w:r>
            <w:r>
              <w:rPr>
                <w:rFonts w:asciiTheme="minorEastAsia" w:hAnsiTheme="minorEastAsia" w:eastAsiaTheme="minorEastAsia"/>
                <w:kern w:val="0"/>
                <w:sz w:val="21"/>
                <w:szCs w:val="21"/>
              </w:rPr>
              <w:t>.5</w:t>
            </w:r>
          </w:p>
        </w:tc>
      </w:tr>
      <w:tr w14:paraId="3884AA6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2370" w:type="pct"/>
            <w:gridSpan w:val="3"/>
            <w:vAlign w:val="center"/>
          </w:tcPr>
          <w:p w14:paraId="39BD6ABB">
            <w:pPr>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饭店、宾馆、培训中心</w:t>
            </w:r>
          </w:p>
        </w:tc>
        <w:tc>
          <w:tcPr>
            <w:tcW w:w="1102" w:type="pct"/>
            <w:vAlign w:val="center"/>
          </w:tcPr>
          <w:p w14:paraId="4371E49B">
            <w:pPr>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车位/客房</w:t>
            </w:r>
          </w:p>
        </w:tc>
        <w:tc>
          <w:tcPr>
            <w:tcW w:w="1528" w:type="pct"/>
            <w:gridSpan w:val="3"/>
            <w:vAlign w:val="center"/>
          </w:tcPr>
          <w:p w14:paraId="4EAB000F">
            <w:pPr>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0.8</w:t>
            </w:r>
          </w:p>
        </w:tc>
      </w:tr>
      <w:tr w14:paraId="67A1EAA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544" w:type="pct"/>
            <w:vMerge w:val="restart"/>
            <w:vAlign w:val="center"/>
          </w:tcPr>
          <w:p w14:paraId="0C7FA33D">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办公</w:t>
            </w:r>
          </w:p>
        </w:tc>
        <w:tc>
          <w:tcPr>
            <w:tcW w:w="1826" w:type="pct"/>
            <w:gridSpan w:val="2"/>
            <w:vAlign w:val="center"/>
          </w:tcPr>
          <w:p w14:paraId="413E26F4">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行政办公</w:t>
            </w:r>
          </w:p>
        </w:tc>
        <w:tc>
          <w:tcPr>
            <w:tcW w:w="1102" w:type="pct"/>
            <w:vAlign w:val="center"/>
          </w:tcPr>
          <w:p w14:paraId="09E8C127">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车位/100</w:t>
            </w:r>
            <w:r>
              <w:rPr>
                <w:rFonts w:hint="eastAsia" w:asciiTheme="minorEastAsia" w:hAnsiTheme="minorEastAsia" w:eastAsiaTheme="minorEastAsia"/>
                <w:kern w:val="0"/>
                <w:sz w:val="21"/>
                <w:szCs w:val="21"/>
              </w:rPr>
              <w:t xml:space="preserve"> m</w:t>
            </w:r>
            <w:r>
              <w:rPr>
                <w:rFonts w:asciiTheme="minorEastAsia" w:hAnsiTheme="minorEastAsia" w:eastAsiaTheme="minorEastAsia"/>
                <w:kern w:val="0"/>
                <w:sz w:val="21"/>
                <w:szCs w:val="21"/>
                <w:vertAlign w:val="superscript"/>
              </w:rPr>
              <w:t>2</w:t>
            </w:r>
            <w:r>
              <w:rPr>
                <w:rFonts w:asciiTheme="minorEastAsia" w:hAnsiTheme="minorEastAsia" w:eastAsiaTheme="minorEastAsia"/>
                <w:kern w:val="0"/>
                <w:sz w:val="21"/>
                <w:szCs w:val="21"/>
              </w:rPr>
              <w:t>建筑面积</w:t>
            </w:r>
          </w:p>
        </w:tc>
        <w:tc>
          <w:tcPr>
            <w:tcW w:w="517" w:type="pct"/>
            <w:vAlign w:val="center"/>
          </w:tcPr>
          <w:p w14:paraId="0751FF56">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2.4</w:t>
            </w:r>
          </w:p>
        </w:tc>
        <w:tc>
          <w:tcPr>
            <w:tcW w:w="474" w:type="pct"/>
            <w:vAlign w:val="center"/>
          </w:tcPr>
          <w:p w14:paraId="22D7566E">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2.0</w:t>
            </w:r>
          </w:p>
        </w:tc>
        <w:tc>
          <w:tcPr>
            <w:tcW w:w="537" w:type="pct"/>
            <w:vAlign w:val="center"/>
          </w:tcPr>
          <w:p w14:paraId="749273A0">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1.6</w:t>
            </w:r>
          </w:p>
        </w:tc>
      </w:tr>
      <w:tr w14:paraId="55D8D6A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544" w:type="pct"/>
            <w:vMerge w:val="continue"/>
            <w:vAlign w:val="center"/>
          </w:tcPr>
          <w:p w14:paraId="3247D99A">
            <w:pPr>
              <w:jc w:val="center"/>
              <w:rPr>
                <w:rFonts w:asciiTheme="minorEastAsia" w:hAnsiTheme="minorEastAsia" w:eastAsiaTheme="minorEastAsia"/>
                <w:kern w:val="0"/>
                <w:sz w:val="21"/>
                <w:szCs w:val="21"/>
              </w:rPr>
            </w:pPr>
          </w:p>
        </w:tc>
        <w:tc>
          <w:tcPr>
            <w:tcW w:w="1826" w:type="pct"/>
            <w:gridSpan w:val="2"/>
            <w:vAlign w:val="center"/>
          </w:tcPr>
          <w:p w14:paraId="305F5915">
            <w:pPr>
              <w:widowControl/>
              <w:jc w:val="center"/>
              <w:rPr>
                <w:rFonts w:asciiTheme="minorEastAsia" w:hAnsiTheme="minorEastAsia" w:eastAsiaTheme="minorEastAsia"/>
                <w:kern w:val="0"/>
                <w:sz w:val="21"/>
                <w:szCs w:val="21"/>
              </w:rPr>
            </w:pPr>
            <w:r>
              <w:rPr>
                <w:rFonts w:hint="eastAsia" w:asciiTheme="minorEastAsia" w:hAnsiTheme="minorEastAsia" w:eastAsiaTheme="minorEastAsia"/>
                <w:kern w:val="0"/>
                <w:sz w:val="21"/>
                <w:szCs w:val="21"/>
              </w:rPr>
              <w:t>商务</w:t>
            </w:r>
            <w:r>
              <w:rPr>
                <w:rFonts w:asciiTheme="minorEastAsia" w:hAnsiTheme="minorEastAsia" w:eastAsiaTheme="minorEastAsia"/>
                <w:kern w:val="0"/>
                <w:sz w:val="21"/>
                <w:szCs w:val="21"/>
              </w:rPr>
              <w:t>办公</w:t>
            </w:r>
          </w:p>
        </w:tc>
        <w:tc>
          <w:tcPr>
            <w:tcW w:w="1102" w:type="pct"/>
            <w:vAlign w:val="center"/>
          </w:tcPr>
          <w:p w14:paraId="6E14D749">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车位/100</w:t>
            </w:r>
            <w:r>
              <w:rPr>
                <w:rFonts w:hint="eastAsia" w:asciiTheme="minorEastAsia" w:hAnsiTheme="minorEastAsia" w:eastAsiaTheme="minorEastAsia"/>
                <w:kern w:val="0"/>
                <w:sz w:val="21"/>
                <w:szCs w:val="21"/>
              </w:rPr>
              <w:t xml:space="preserve"> m</w:t>
            </w:r>
            <w:r>
              <w:rPr>
                <w:rFonts w:asciiTheme="minorEastAsia" w:hAnsiTheme="minorEastAsia" w:eastAsiaTheme="minorEastAsia"/>
                <w:kern w:val="0"/>
                <w:sz w:val="21"/>
                <w:szCs w:val="21"/>
                <w:vertAlign w:val="superscript"/>
              </w:rPr>
              <w:t>2</w:t>
            </w:r>
            <w:r>
              <w:rPr>
                <w:rFonts w:asciiTheme="minorEastAsia" w:hAnsiTheme="minorEastAsia" w:eastAsiaTheme="minorEastAsia"/>
                <w:kern w:val="0"/>
                <w:sz w:val="21"/>
                <w:szCs w:val="21"/>
              </w:rPr>
              <w:t>建筑面积</w:t>
            </w:r>
          </w:p>
        </w:tc>
        <w:tc>
          <w:tcPr>
            <w:tcW w:w="517" w:type="pct"/>
            <w:vAlign w:val="center"/>
          </w:tcPr>
          <w:p w14:paraId="7A611871">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2.4</w:t>
            </w:r>
          </w:p>
        </w:tc>
        <w:tc>
          <w:tcPr>
            <w:tcW w:w="474" w:type="pct"/>
            <w:vAlign w:val="center"/>
          </w:tcPr>
          <w:p w14:paraId="7C0C211C">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2.0</w:t>
            </w:r>
          </w:p>
        </w:tc>
        <w:tc>
          <w:tcPr>
            <w:tcW w:w="537" w:type="pct"/>
            <w:vAlign w:val="center"/>
          </w:tcPr>
          <w:p w14:paraId="1C7ED13C">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1.6</w:t>
            </w:r>
          </w:p>
        </w:tc>
      </w:tr>
      <w:tr w14:paraId="0F2963F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544" w:type="pct"/>
            <w:vMerge w:val="continue"/>
            <w:vAlign w:val="center"/>
          </w:tcPr>
          <w:p w14:paraId="274B32CC">
            <w:pPr>
              <w:jc w:val="center"/>
              <w:rPr>
                <w:rFonts w:asciiTheme="minorEastAsia" w:hAnsiTheme="minorEastAsia" w:eastAsiaTheme="minorEastAsia"/>
                <w:kern w:val="0"/>
                <w:sz w:val="21"/>
                <w:szCs w:val="21"/>
              </w:rPr>
            </w:pPr>
          </w:p>
        </w:tc>
        <w:tc>
          <w:tcPr>
            <w:tcW w:w="1826" w:type="pct"/>
            <w:gridSpan w:val="2"/>
            <w:vAlign w:val="center"/>
          </w:tcPr>
          <w:p w14:paraId="36541D47">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生产研发、科研设计</w:t>
            </w:r>
            <w:r>
              <w:rPr>
                <w:rFonts w:hint="eastAsia" w:asciiTheme="minorEastAsia" w:hAnsiTheme="minorEastAsia" w:eastAsiaTheme="minorEastAsia"/>
                <w:kern w:val="0"/>
                <w:sz w:val="21"/>
                <w:szCs w:val="21"/>
              </w:rPr>
              <w:t>、物流办公</w:t>
            </w:r>
          </w:p>
        </w:tc>
        <w:tc>
          <w:tcPr>
            <w:tcW w:w="1102" w:type="pct"/>
            <w:vAlign w:val="center"/>
          </w:tcPr>
          <w:p w14:paraId="1BA6645D">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车位/100</w:t>
            </w:r>
            <w:r>
              <w:rPr>
                <w:rFonts w:hint="eastAsia" w:asciiTheme="minorEastAsia" w:hAnsiTheme="minorEastAsia" w:eastAsiaTheme="minorEastAsia"/>
                <w:kern w:val="0"/>
                <w:sz w:val="21"/>
                <w:szCs w:val="21"/>
              </w:rPr>
              <w:t xml:space="preserve"> m</w:t>
            </w:r>
            <w:r>
              <w:rPr>
                <w:rFonts w:asciiTheme="minorEastAsia" w:hAnsiTheme="minorEastAsia" w:eastAsiaTheme="minorEastAsia"/>
                <w:kern w:val="0"/>
                <w:sz w:val="21"/>
                <w:szCs w:val="21"/>
                <w:vertAlign w:val="superscript"/>
              </w:rPr>
              <w:t>2</w:t>
            </w:r>
            <w:r>
              <w:rPr>
                <w:rFonts w:asciiTheme="minorEastAsia" w:hAnsiTheme="minorEastAsia" w:eastAsiaTheme="minorEastAsia"/>
                <w:kern w:val="0"/>
                <w:sz w:val="21"/>
                <w:szCs w:val="21"/>
              </w:rPr>
              <w:t>建筑面积</w:t>
            </w:r>
          </w:p>
        </w:tc>
        <w:tc>
          <w:tcPr>
            <w:tcW w:w="517" w:type="pct"/>
            <w:vAlign w:val="center"/>
          </w:tcPr>
          <w:p w14:paraId="342BC76A">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2.4</w:t>
            </w:r>
          </w:p>
        </w:tc>
        <w:tc>
          <w:tcPr>
            <w:tcW w:w="474" w:type="pct"/>
            <w:vAlign w:val="center"/>
          </w:tcPr>
          <w:p w14:paraId="5EB69734">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1.6</w:t>
            </w:r>
          </w:p>
        </w:tc>
        <w:tc>
          <w:tcPr>
            <w:tcW w:w="537" w:type="pct"/>
            <w:vAlign w:val="center"/>
          </w:tcPr>
          <w:p w14:paraId="679D5BA6">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1.2</w:t>
            </w:r>
          </w:p>
        </w:tc>
      </w:tr>
      <w:tr w14:paraId="07EDBF5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544" w:type="pct"/>
            <w:vMerge w:val="continue"/>
            <w:vAlign w:val="center"/>
          </w:tcPr>
          <w:p w14:paraId="4170DC63">
            <w:pPr>
              <w:jc w:val="center"/>
              <w:rPr>
                <w:rFonts w:asciiTheme="minorEastAsia" w:hAnsiTheme="minorEastAsia" w:eastAsiaTheme="minorEastAsia"/>
                <w:kern w:val="0"/>
                <w:sz w:val="21"/>
                <w:szCs w:val="21"/>
              </w:rPr>
            </w:pPr>
          </w:p>
        </w:tc>
        <w:tc>
          <w:tcPr>
            <w:tcW w:w="1826" w:type="pct"/>
            <w:gridSpan w:val="2"/>
            <w:vAlign w:val="center"/>
          </w:tcPr>
          <w:p w14:paraId="304FBCA2">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配套</w:t>
            </w:r>
            <w:r>
              <w:rPr>
                <w:rFonts w:hint="eastAsia" w:asciiTheme="minorEastAsia" w:hAnsiTheme="minorEastAsia" w:eastAsiaTheme="minorEastAsia"/>
                <w:kern w:val="0"/>
                <w:sz w:val="21"/>
                <w:szCs w:val="21"/>
              </w:rPr>
              <w:t>办公</w:t>
            </w:r>
            <w:r>
              <w:rPr>
                <w:rFonts w:asciiTheme="minorEastAsia" w:hAnsiTheme="minorEastAsia" w:eastAsiaTheme="minorEastAsia"/>
                <w:kern w:val="0"/>
                <w:sz w:val="21"/>
                <w:szCs w:val="21"/>
              </w:rPr>
              <w:t>管理用房</w:t>
            </w:r>
          </w:p>
        </w:tc>
        <w:tc>
          <w:tcPr>
            <w:tcW w:w="1102" w:type="pct"/>
            <w:vAlign w:val="center"/>
          </w:tcPr>
          <w:p w14:paraId="34F193CC">
            <w:pPr>
              <w:jc w:val="center"/>
              <w:rPr>
                <w:rFonts w:asciiTheme="minorEastAsia" w:hAnsiTheme="minorEastAsia" w:eastAsiaTheme="minorEastAsia"/>
                <w:sz w:val="21"/>
                <w:szCs w:val="21"/>
              </w:rPr>
            </w:pPr>
            <w:r>
              <w:rPr>
                <w:rFonts w:asciiTheme="minorEastAsia" w:hAnsiTheme="minorEastAsia" w:eastAsiaTheme="minorEastAsia"/>
                <w:kern w:val="0"/>
                <w:sz w:val="21"/>
                <w:szCs w:val="21"/>
              </w:rPr>
              <w:t>车位/100</w:t>
            </w:r>
            <w:r>
              <w:rPr>
                <w:rFonts w:hint="eastAsia" w:asciiTheme="minorEastAsia" w:hAnsiTheme="minorEastAsia" w:eastAsiaTheme="minorEastAsia"/>
                <w:kern w:val="0"/>
                <w:sz w:val="21"/>
                <w:szCs w:val="21"/>
              </w:rPr>
              <w:t xml:space="preserve"> m</w:t>
            </w:r>
            <w:r>
              <w:rPr>
                <w:rFonts w:asciiTheme="minorEastAsia" w:hAnsiTheme="minorEastAsia" w:eastAsiaTheme="minorEastAsia"/>
                <w:kern w:val="0"/>
                <w:sz w:val="21"/>
                <w:szCs w:val="21"/>
                <w:vertAlign w:val="superscript"/>
              </w:rPr>
              <w:t>2</w:t>
            </w:r>
            <w:r>
              <w:rPr>
                <w:rFonts w:asciiTheme="minorEastAsia" w:hAnsiTheme="minorEastAsia" w:eastAsiaTheme="minorEastAsia"/>
                <w:kern w:val="0"/>
                <w:sz w:val="21"/>
                <w:szCs w:val="21"/>
              </w:rPr>
              <w:t>建筑面积</w:t>
            </w:r>
          </w:p>
        </w:tc>
        <w:tc>
          <w:tcPr>
            <w:tcW w:w="517" w:type="pct"/>
            <w:vAlign w:val="center"/>
          </w:tcPr>
          <w:p w14:paraId="58670881">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2.4</w:t>
            </w:r>
          </w:p>
        </w:tc>
        <w:tc>
          <w:tcPr>
            <w:tcW w:w="474" w:type="pct"/>
            <w:vAlign w:val="center"/>
          </w:tcPr>
          <w:p w14:paraId="2140C474">
            <w:pPr>
              <w:widowControl/>
              <w:jc w:val="center"/>
              <w:rPr>
                <w:rFonts w:asciiTheme="minorEastAsia" w:hAnsiTheme="minorEastAsia" w:eastAsiaTheme="minorEastAsia"/>
                <w:kern w:val="0"/>
                <w:sz w:val="21"/>
                <w:szCs w:val="21"/>
              </w:rPr>
            </w:pPr>
            <w:r>
              <w:rPr>
                <w:rFonts w:hint="eastAsia" w:asciiTheme="minorEastAsia" w:hAnsiTheme="minorEastAsia" w:eastAsiaTheme="minorEastAsia"/>
                <w:kern w:val="0"/>
                <w:sz w:val="21"/>
                <w:szCs w:val="21"/>
              </w:rPr>
              <w:t>1</w:t>
            </w:r>
            <w:r>
              <w:rPr>
                <w:rFonts w:asciiTheme="minorEastAsia" w:hAnsiTheme="minorEastAsia" w:eastAsiaTheme="minorEastAsia"/>
                <w:kern w:val="0"/>
                <w:sz w:val="21"/>
                <w:szCs w:val="21"/>
              </w:rPr>
              <w:t>.6</w:t>
            </w:r>
          </w:p>
        </w:tc>
        <w:tc>
          <w:tcPr>
            <w:tcW w:w="537" w:type="pct"/>
            <w:vAlign w:val="center"/>
          </w:tcPr>
          <w:p w14:paraId="68575395">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1.2</w:t>
            </w:r>
          </w:p>
        </w:tc>
      </w:tr>
      <w:tr w14:paraId="290786D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544" w:type="pct"/>
            <w:vMerge w:val="restart"/>
            <w:vAlign w:val="center"/>
          </w:tcPr>
          <w:p w14:paraId="795F085E">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餐饮娱乐</w:t>
            </w:r>
          </w:p>
        </w:tc>
        <w:tc>
          <w:tcPr>
            <w:tcW w:w="1826" w:type="pct"/>
            <w:gridSpan w:val="2"/>
            <w:vAlign w:val="center"/>
          </w:tcPr>
          <w:p w14:paraId="0544D0CA">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独立餐饮娱乐</w:t>
            </w:r>
          </w:p>
        </w:tc>
        <w:tc>
          <w:tcPr>
            <w:tcW w:w="1102" w:type="pct"/>
            <w:vAlign w:val="center"/>
          </w:tcPr>
          <w:p w14:paraId="69FADCE6">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车位/100</w:t>
            </w:r>
            <w:r>
              <w:rPr>
                <w:rFonts w:hint="eastAsia" w:asciiTheme="minorEastAsia" w:hAnsiTheme="minorEastAsia" w:eastAsiaTheme="minorEastAsia"/>
                <w:kern w:val="0"/>
                <w:sz w:val="21"/>
                <w:szCs w:val="21"/>
              </w:rPr>
              <w:t xml:space="preserve"> m</w:t>
            </w:r>
            <w:r>
              <w:rPr>
                <w:rFonts w:asciiTheme="minorEastAsia" w:hAnsiTheme="minorEastAsia" w:eastAsiaTheme="minorEastAsia"/>
                <w:kern w:val="0"/>
                <w:sz w:val="21"/>
                <w:szCs w:val="21"/>
                <w:vertAlign w:val="superscript"/>
              </w:rPr>
              <w:t>2</w:t>
            </w:r>
            <w:r>
              <w:rPr>
                <w:rFonts w:asciiTheme="minorEastAsia" w:hAnsiTheme="minorEastAsia" w:eastAsiaTheme="minorEastAsia"/>
                <w:kern w:val="0"/>
                <w:sz w:val="21"/>
                <w:szCs w:val="21"/>
              </w:rPr>
              <w:t>建筑面积</w:t>
            </w:r>
          </w:p>
        </w:tc>
        <w:tc>
          <w:tcPr>
            <w:tcW w:w="517" w:type="pct"/>
            <w:vAlign w:val="center"/>
          </w:tcPr>
          <w:p w14:paraId="70CEA659">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1.6</w:t>
            </w:r>
          </w:p>
        </w:tc>
        <w:tc>
          <w:tcPr>
            <w:tcW w:w="474" w:type="pct"/>
            <w:vAlign w:val="center"/>
          </w:tcPr>
          <w:p w14:paraId="500F4E4E">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1.2</w:t>
            </w:r>
          </w:p>
        </w:tc>
        <w:tc>
          <w:tcPr>
            <w:tcW w:w="537" w:type="pct"/>
            <w:vAlign w:val="center"/>
          </w:tcPr>
          <w:p w14:paraId="2E86A0EE">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0.8</w:t>
            </w:r>
          </w:p>
        </w:tc>
      </w:tr>
      <w:tr w14:paraId="16447D8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544" w:type="pct"/>
            <w:vMerge w:val="continue"/>
            <w:shd w:val="clear" w:color="auto" w:fill="FFFFFF"/>
            <w:vAlign w:val="center"/>
          </w:tcPr>
          <w:p w14:paraId="75608113">
            <w:pPr>
              <w:widowControl/>
              <w:jc w:val="center"/>
              <w:rPr>
                <w:rFonts w:asciiTheme="minorEastAsia" w:hAnsiTheme="minorEastAsia" w:eastAsiaTheme="minorEastAsia"/>
                <w:kern w:val="0"/>
                <w:sz w:val="21"/>
                <w:szCs w:val="21"/>
              </w:rPr>
            </w:pPr>
          </w:p>
        </w:tc>
        <w:tc>
          <w:tcPr>
            <w:tcW w:w="1826" w:type="pct"/>
            <w:gridSpan w:val="2"/>
            <w:vAlign w:val="center"/>
          </w:tcPr>
          <w:p w14:paraId="078D8D63">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附属配套餐饮娱乐</w:t>
            </w:r>
          </w:p>
        </w:tc>
        <w:tc>
          <w:tcPr>
            <w:tcW w:w="1102" w:type="pct"/>
            <w:vAlign w:val="center"/>
          </w:tcPr>
          <w:p w14:paraId="2BF035FB">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车位/100</w:t>
            </w:r>
            <w:r>
              <w:rPr>
                <w:rFonts w:hint="eastAsia" w:asciiTheme="minorEastAsia" w:hAnsiTheme="minorEastAsia" w:eastAsiaTheme="minorEastAsia"/>
                <w:kern w:val="0"/>
                <w:sz w:val="21"/>
                <w:szCs w:val="21"/>
              </w:rPr>
              <w:t xml:space="preserve"> m</w:t>
            </w:r>
            <w:r>
              <w:rPr>
                <w:rFonts w:asciiTheme="minorEastAsia" w:hAnsiTheme="minorEastAsia" w:eastAsiaTheme="minorEastAsia"/>
                <w:kern w:val="0"/>
                <w:sz w:val="21"/>
                <w:szCs w:val="21"/>
                <w:vertAlign w:val="superscript"/>
              </w:rPr>
              <w:t>2</w:t>
            </w:r>
            <w:r>
              <w:rPr>
                <w:rFonts w:asciiTheme="minorEastAsia" w:hAnsiTheme="minorEastAsia" w:eastAsiaTheme="minorEastAsia"/>
                <w:kern w:val="0"/>
                <w:sz w:val="21"/>
                <w:szCs w:val="21"/>
              </w:rPr>
              <w:t>建筑面积</w:t>
            </w:r>
          </w:p>
        </w:tc>
        <w:tc>
          <w:tcPr>
            <w:tcW w:w="517" w:type="pct"/>
            <w:vAlign w:val="center"/>
          </w:tcPr>
          <w:p w14:paraId="2EF405C7">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1.6</w:t>
            </w:r>
          </w:p>
        </w:tc>
        <w:tc>
          <w:tcPr>
            <w:tcW w:w="474" w:type="pct"/>
            <w:vAlign w:val="center"/>
          </w:tcPr>
          <w:p w14:paraId="5689235B">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1.2</w:t>
            </w:r>
          </w:p>
        </w:tc>
        <w:tc>
          <w:tcPr>
            <w:tcW w:w="537" w:type="pct"/>
            <w:vAlign w:val="center"/>
          </w:tcPr>
          <w:p w14:paraId="206F2443">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0.8</w:t>
            </w:r>
          </w:p>
        </w:tc>
      </w:tr>
      <w:tr w14:paraId="597D10A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544" w:type="pct"/>
            <w:vMerge w:val="restart"/>
            <w:vAlign w:val="center"/>
          </w:tcPr>
          <w:p w14:paraId="6885387A">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商业</w:t>
            </w:r>
          </w:p>
        </w:tc>
        <w:tc>
          <w:tcPr>
            <w:tcW w:w="1826" w:type="pct"/>
            <w:gridSpan w:val="2"/>
            <w:vAlign w:val="center"/>
          </w:tcPr>
          <w:p w14:paraId="02953354">
            <w:pPr>
              <w:widowControl/>
              <w:jc w:val="center"/>
              <w:rPr>
                <w:rFonts w:asciiTheme="minorEastAsia" w:hAnsiTheme="minorEastAsia" w:eastAsiaTheme="minorEastAsia"/>
                <w:kern w:val="0"/>
                <w:sz w:val="21"/>
                <w:szCs w:val="21"/>
              </w:rPr>
            </w:pPr>
            <w:r>
              <w:rPr>
                <w:rFonts w:hint="eastAsia" w:asciiTheme="minorEastAsia" w:hAnsiTheme="minorEastAsia" w:eastAsiaTheme="minorEastAsia"/>
                <w:kern w:val="0"/>
                <w:sz w:val="21"/>
                <w:szCs w:val="21"/>
              </w:rPr>
              <w:t>中小型</w:t>
            </w:r>
            <w:r>
              <w:rPr>
                <w:rFonts w:asciiTheme="minorEastAsia" w:hAnsiTheme="minorEastAsia" w:eastAsiaTheme="minorEastAsia"/>
                <w:kern w:val="0"/>
                <w:sz w:val="21"/>
                <w:szCs w:val="21"/>
              </w:rPr>
              <w:t>商业设施</w:t>
            </w:r>
            <w:r>
              <w:rPr>
                <w:rFonts w:hint="eastAsia" w:asciiTheme="minorEastAsia" w:hAnsiTheme="minorEastAsia" w:eastAsiaTheme="minorEastAsia"/>
                <w:kern w:val="0"/>
                <w:sz w:val="21"/>
                <w:szCs w:val="21"/>
              </w:rPr>
              <w:t>（5</w:t>
            </w:r>
            <w:r>
              <w:rPr>
                <w:rFonts w:asciiTheme="minorEastAsia" w:hAnsiTheme="minorEastAsia" w:eastAsiaTheme="minorEastAsia"/>
                <w:kern w:val="0"/>
                <w:sz w:val="21"/>
                <w:szCs w:val="21"/>
              </w:rPr>
              <w:t>0000m</w:t>
            </w:r>
            <w:r>
              <w:rPr>
                <w:rFonts w:asciiTheme="minorEastAsia" w:hAnsiTheme="minorEastAsia" w:eastAsiaTheme="minorEastAsia"/>
                <w:kern w:val="0"/>
                <w:sz w:val="21"/>
                <w:szCs w:val="21"/>
                <w:vertAlign w:val="superscript"/>
              </w:rPr>
              <w:t>2</w:t>
            </w:r>
            <w:r>
              <w:rPr>
                <w:rFonts w:hint="eastAsia" w:asciiTheme="minorEastAsia" w:hAnsiTheme="minorEastAsia" w:eastAsiaTheme="minorEastAsia"/>
                <w:kern w:val="0"/>
                <w:sz w:val="21"/>
                <w:szCs w:val="21"/>
              </w:rPr>
              <w:t>及以下）</w:t>
            </w:r>
          </w:p>
        </w:tc>
        <w:tc>
          <w:tcPr>
            <w:tcW w:w="1102" w:type="pct"/>
            <w:vAlign w:val="center"/>
          </w:tcPr>
          <w:p w14:paraId="29A925A6">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车位/100</w:t>
            </w:r>
            <w:r>
              <w:rPr>
                <w:rFonts w:hint="eastAsia" w:asciiTheme="minorEastAsia" w:hAnsiTheme="minorEastAsia" w:eastAsiaTheme="minorEastAsia"/>
                <w:kern w:val="0"/>
                <w:sz w:val="21"/>
                <w:szCs w:val="21"/>
              </w:rPr>
              <w:t xml:space="preserve"> m</w:t>
            </w:r>
            <w:r>
              <w:rPr>
                <w:rFonts w:asciiTheme="minorEastAsia" w:hAnsiTheme="minorEastAsia" w:eastAsiaTheme="minorEastAsia"/>
                <w:kern w:val="0"/>
                <w:sz w:val="21"/>
                <w:szCs w:val="21"/>
                <w:vertAlign w:val="superscript"/>
              </w:rPr>
              <w:t>2</w:t>
            </w:r>
            <w:r>
              <w:rPr>
                <w:rFonts w:asciiTheme="minorEastAsia" w:hAnsiTheme="minorEastAsia" w:eastAsiaTheme="minorEastAsia"/>
                <w:kern w:val="0"/>
                <w:sz w:val="21"/>
                <w:szCs w:val="21"/>
              </w:rPr>
              <w:t>建筑面积</w:t>
            </w:r>
          </w:p>
        </w:tc>
        <w:tc>
          <w:tcPr>
            <w:tcW w:w="517" w:type="pct"/>
            <w:vAlign w:val="center"/>
          </w:tcPr>
          <w:p w14:paraId="282B9C4D">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3.2</w:t>
            </w:r>
          </w:p>
        </w:tc>
        <w:tc>
          <w:tcPr>
            <w:tcW w:w="474" w:type="pct"/>
            <w:vAlign w:val="center"/>
          </w:tcPr>
          <w:p w14:paraId="3B137952">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2.4</w:t>
            </w:r>
          </w:p>
        </w:tc>
        <w:tc>
          <w:tcPr>
            <w:tcW w:w="537" w:type="pct"/>
            <w:vAlign w:val="center"/>
          </w:tcPr>
          <w:p w14:paraId="6CAF3025">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1.6</w:t>
            </w:r>
          </w:p>
        </w:tc>
      </w:tr>
      <w:tr w14:paraId="22D25E6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544" w:type="pct"/>
            <w:vMerge w:val="continue"/>
            <w:vAlign w:val="center"/>
          </w:tcPr>
          <w:p w14:paraId="6BC0F6F0">
            <w:pPr>
              <w:widowControl/>
              <w:jc w:val="center"/>
              <w:rPr>
                <w:rFonts w:asciiTheme="minorEastAsia" w:hAnsiTheme="minorEastAsia" w:eastAsiaTheme="minorEastAsia"/>
                <w:kern w:val="0"/>
                <w:sz w:val="21"/>
                <w:szCs w:val="21"/>
              </w:rPr>
            </w:pPr>
          </w:p>
        </w:tc>
        <w:tc>
          <w:tcPr>
            <w:tcW w:w="1826" w:type="pct"/>
            <w:gridSpan w:val="2"/>
            <w:vAlign w:val="center"/>
          </w:tcPr>
          <w:p w14:paraId="0305089B">
            <w:pPr>
              <w:widowControl/>
              <w:jc w:val="center"/>
              <w:rPr>
                <w:rFonts w:asciiTheme="minorEastAsia" w:hAnsiTheme="minorEastAsia" w:eastAsiaTheme="minorEastAsia"/>
                <w:kern w:val="0"/>
                <w:sz w:val="21"/>
                <w:szCs w:val="21"/>
              </w:rPr>
            </w:pPr>
            <w:r>
              <w:rPr>
                <w:rFonts w:hint="eastAsia" w:asciiTheme="minorEastAsia" w:hAnsiTheme="minorEastAsia" w:eastAsiaTheme="minorEastAsia"/>
                <w:kern w:val="0"/>
                <w:sz w:val="21"/>
                <w:szCs w:val="21"/>
              </w:rPr>
              <w:t>大型</w:t>
            </w:r>
            <w:r>
              <w:rPr>
                <w:rFonts w:asciiTheme="minorEastAsia" w:hAnsiTheme="minorEastAsia" w:eastAsiaTheme="minorEastAsia"/>
                <w:kern w:val="0"/>
                <w:sz w:val="21"/>
                <w:szCs w:val="21"/>
              </w:rPr>
              <w:t>商业设施</w:t>
            </w:r>
            <w:r>
              <w:rPr>
                <w:rFonts w:hint="eastAsia" w:asciiTheme="minorEastAsia" w:hAnsiTheme="minorEastAsia" w:eastAsiaTheme="minorEastAsia"/>
                <w:kern w:val="0"/>
                <w:sz w:val="21"/>
                <w:szCs w:val="21"/>
              </w:rPr>
              <w:t>（5</w:t>
            </w:r>
            <w:r>
              <w:rPr>
                <w:rFonts w:asciiTheme="minorEastAsia" w:hAnsiTheme="minorEastAsia" w:eastAsiaTheme="minorEastAsia"/>
                <w:kern w:val="0"/>
                <w:sz w:val="21"/>
                <w:szCs w:val="21"/>
              </w:rPr>
              <w:t>0000m</w:t>
            </w:r>
            <w:r>
              <w:rPr>
                <w:rFonts w:asciiTheme="minorEastAsia" w:hAnsiTheme="minorEastAsia" w:eastAsiaTheme="minorEastAsia"/>
                <w:kern w:val="0"/>
                <w:sz w:val="21"/>
                <w:szCs w:val="21"/>
                <w:vertAlign w:val="superscript"/>
              </w:rPr>
              <w:t>2</w:t>
            </w:r>
            <w:r>
              <w:rPr>
                <w:rFonts w:hint="eastAsia" w:asciiTheme="minorEastAsia" w:hAnsiTheme="minorEastAsia" w:eastAsiaTheme="minorEastAsia"/>
                <w:kern w:val="0"/>
                <w:sz w:val="21"/>
                <w:szCs w:val="21"/>
              </w:rPr>
              <w:t>以上）、</w:t>
            </w:r>
            <w:r>
              <w:rPr>
                <w:rFonts w:asciiTheme="minorEastAsia" w:hAnsiTheme="minorEastAsia" w:eastAsiaTheme="minorEastAsia"/>
                <w:kern w:val="0"/>
                <w:sz w:val="21"/>
                <w:szCs w:val="21"/>
              </w:rPr>
              <w:t>大型超市</w:t>
            </w:r>
          </w:p>
        </w:tc>
        <w:tc>
          <w:tcPr>
            <w:tcW w:w="1102" w:type="pct"/>
            <w:vAlign w:val="center"/>
          </w:tcPr>
          <w:p w14:paraId="25EFFA66">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车位/100</w:t>
            </w:r>
            <w:r>
              <w:rPr>
                <w:rFonts w:hint="eastAsia" w:asciiTheme="minorEastAsia" w:hAnsiTheme="minorEastAsia" w:eastAsiaTheme="minorEastAsia"/>
                <w:kern w:val="0"/>
                <w:sz w:val="21"/>
                <w:szCs w:val="21"/>
              </w:rPr>
              <w:t xml:space="preserve"> m</w:t>
            </w:r>
            <w:r>
              <w:rPr>
                <w:rFonts w:asciiTheme="minorEastAsia" w:hAnsiTheme="minorEastAsia" w:eastAsiaTheme="minorEastAsia"/>
                <w:kern w:val="0"/>
                <w:sz w:val="21"/>
                <w:szCs w:val="21"/>
                <w:vertAlign w:val="superscript"/>
              </w:rPr>
              <w:t>2</w:t>
            </w:r>
            <w:r>
              <w:rPr>
                <w:rFonts w:asciiTheme="minorEastAsia" w:hAnsiTheme="minorEastAsia" w:eastAsiaTheme="minorEastAsia"/>
                <w:kern w:val="0"/>
                <w:sz w:val="21"/>
                <w:szCs w:val="21"/>
              </w:rPr>
              <w:t>建筑面积</w:t>
            </w:r>
          </w:p>
        </w:tc>
        <w:tc>
          <w:tcPr>
            <w:tcW w:w="517" w:type="pct"/>
            <w:vAlign w:val="center"/>
          </w:tcPr>
          <w:p w14:paraId="2D5B2FFE">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3.2</w:t>
            </w:r>
          </w:p>
        </w:tc>
        <w:tc>
          <w:tcPr>
            <w:tcW w:w="474" w:type="pct"/>
            <w:vAlign w:val="center"/>
          </w:tcPr>
          <w:p w14:paraId="4E403676">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2.4</w:t>
            </w:r>
          </w:p>
        </w:tc>
        <w:tc>
          <w:tcPr>
            <w:tcW w:w="537" w:type="pct"/>
            <w:vAlign w:val="center"/>
          </w:tcPr>
          <w:p w14:paraId="2E0AB740">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1.6</w:t>
            </w:r>
          </w:p>
        </w:tc>
      </w:tr>
      <w:tr w14:paraId="05F97ED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544" w:type="pct"/>
            <w:vMerge w:val="continue"/>
            <w:vAlign w:val="center"/>
          </w:tcPr>
          <w:p w14:paraId="6C2141E3">
            <w:pPr>
              <w:widowControl/>
              <w:jc w:val="center"/>
              <w:rPr>
                <w:rFonts w:asciiTheme="minorEastAsia" w:hAnsiTheme="minorEastAsia" w:eastAsiaTheme="minorEastAsia"/>
                <w:kern w:val="0"/>
                <w:sz w:val="21"/>
                <w:szCs w:val="21"/>
              </w:rPr>
            </w:pPr>
          </w:p>
        </w:tc>
        <w:tc>
          <w:tcPr>
            <w:tcW w:w="1826" w:type="pct"/>
            <w:gridSpan w:val="2"/>
            <w:vAlign w:val="center"/>
          </w:tcPr>
          <w:p w14:paraId="718C1E6C">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配套商业设施（小型超市、便利店、专卖店）</w:t>
            </w:r>
          </w:p>
        </w:tc>
        <w:tc>
          <w:tcPr>
            <w:tcW w:w="1102" w:type="pct"/>
            <w:vAlign w:val="center"/>
          </w:tcPr>
          <w:p w14:paraId="0271A0F5">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车位/100</w:t>
            </w:r>
            <w:r>
              <w:rPr>
                <w:rFonts w:hint="eastAsia" w:asciiTheme="minorEastAsia" w:hAnsiTheme="minorEastAsia" w:eastAsiaTheme="minorEastAsia"/>
                <w:kern w:val="0"/>
                <w:sz w:val="21"/>
                <w:szCs w:val="21"/>
              </w:rPr>
              <w:t xml:space="preserve"> m</w:t>
            </w:r>
            <w:r>
              <w:rPr>
                <w:rFonts w:asciiTheme="minorEastAsia" w:hAnsiTheme="minorEastAsia" w:eastAsiaTheme="minorEastAsia"/>
                <w:kern w:val="0"/>
                <w:sz w:val="21"/>
                <w:szCs w:val="21"/>
                <w:vertAlign w:val="superscript"/>
              </w:rPr>
              <w:t>2</w:t>
            </w:r>
            <w:r>
              <w:rPr>
                <w:rFonts w:asciiTheme="minorEastAsia" w:hAnsiTheme="minorEastAsia" w:eastAsiaTheme="minorEastAsia"/>
                <w:kern w:val="0"/>
                <w:sz w:val="21"/>
                <w:szCs w:val="21"/>
              </w:rPr>
              <w:t>建筑面积</w:t>
            </w:r>
          </w:p>
        </w:tc>
        <w:tc>
          <w:tcPr>
            <w:tcW w:w="517" w:type="pct"/>
            <w:vAlign w:val="center"/>
          </w:tcPr>
          <w:p w14:paraId="2947352A">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4.0</w:t>
            </w:r>
          </w:p>
        </w:tc>
        <w:tc>
          <w:tcPr>
            <w:tcW w:w="474" w:type="pct"/>
            <w:vAlign w:val="center"/>
          </w:tcPr>
          <w:p w14:paraId="39EA330F">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3.2</w:t>
            </w:r>
          </w:p>
        </w:tc>
        <w:tc>
          <w:tcPr>
            <w:tcW w:w="537" w:type="pct"/>
            <w:vAlign w:val="center"/>
          </w:tcPr>
          <w:p w14:paraId="14BC3020">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2.4</w:t>
            </w:r>
          </w:p>
        </w:tc>
      </w:tr>
      <w:tr w14:paraId="38A6403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544" w:type="pct"/>
            <w:vMerge w:val="continue"/>
            <w:vAlign w:val="center"/>
          </w:tcPr>
          <w:p w14:paraId="0FF00D4F">
            <w:pPr>
              <w:widowControl/>
              <w:jc w:val="center"/>
              <w:rPr>
                <w:rFonts w:asciiTheme="minorEastAsia" w:hAnsiTheme="minorEastAsia" w:eastAsiaTheme="minorEastAsia"/>
                <w:kern w:val="0"/>
                <w:sz w:val="21"/>
                <w:szCs w:val="21"/>
              </w:rPr>
            </w:pPr>
          </w:p>
        </w:tc>
        <w:tc>
          <w:tcPr>
            <w:tcW w:w="1826" w:type="pct"/>
            <w:gridSpan w:val="2"/>
            <w:vAlign w:val="center"/>
          </w:tcPr>
          <w:p w14:paraId="52A59591">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专业、批发市场</w:t>
            </w:r>
          </w:p>
        </w:tc>
        <w:tc>
          <w:tcPr>
            <w:tcW w:w="1102" w:type="pct"/>
            <w:vAlign w:val="center"/>
          </w:tcPr>
          <w:p w14:paraId="2BC3EC43">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车位/100</w:t>
            </w:r>
            <w:r>
              <w:rPr>
                <w:rFonts w:hint="eastAsia" w:asciiTheme="minorEastAsia" w:hAnsiTheme="minorEastAsia" w:eastAsiaTheme="minorEastAsia"/>
                <w:kern w:val="0"/>
                <w:sz w:val="21"/>
                <w:szCs w:val="21"/>
              </w:rPr>
              <w:t xml:space="preserve"> m</w:t>
            </w:r>
            <w:r>
              <w:rPr>
                <w:rFonts w:asciiTheme="minorEastAsia" w:hAnsiTheme="minorEastAsia" w:eastAsiaTheme="minorEastAsia"/>
                <w:kern w:val="0"/>
                <w:sz w:val="21"/>
                <w:szCs w:val="21"/>
                <w:vertAlign w:val="superscript"/>
              </w:rPr>
              <w:t>2</w:t>
            </w:r>
            <w:r>
              <w:rPr>
                <w:rFonts w:asciiTheme="minorEastAsia" w:hAnsiTheme="minorEastAsia" w:eastAsiaTheme="minorEastAsia"/>
                <w:kern w:val="0"/>
                <w:sz w:val="21"/>
                <w:szCs w:val="21"/>
              </w:rPr>
              <w:t>建筑面积</w:t>
            </w:r>
          </w:p>
        </w:tc>
        <w:tc>
          <w:tcPr>
            <w:tcW w:w="517" w:type="pct"/>
            <w:vAlign w:val="center"/>
          </w:tcPr>
          <w:p w14:paraId="75A6BD74">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3.2</w:t>
            </w:r>
          </w:p>
        </w:tc>
        <w:tc>
          <w:tcPr>
            <w:tcW w:w="474" w:type="pct"/>
            <w:vAlign w:val="center"/>
          </w:tcPr>
          <w:p w14:paraId="070F5281">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2.4</w:t>
            </w:r>
          </w:p>
        </w:tc>
        <w:tc>
          <w:tcPr>
            <w:tcW w:w="537" w:type="pct"/>
            <w:vAlign w:val="center"/>
          </w:tcPr>
          <w:p w14:paraId="3982B1C0">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1.6</w:t>
            </w:r>
          </w:p>
        </w:tc>
      </w:tr>
      <w:tr w14:paraId="7341EDA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544" w:type="pct"/>
            <w:vMerge w:val="restart"/>
            <w:vAlign w:val="center"/>
          </w:tcPr>
          <w:p w14:paraId="0EEAB77A">
            <w:pPr>
              <w:widowControl/>
              <w:jc w:val="center"/>
              <w:rPr>
                <w:rFonts w:asciiTheme="minorEastAsia" w:hAnsiTheme="minorEastAsia" w:eastAsiaTheme="minorEastAsia"/>
                <w:kern w:val="0"/>
                <w:sz w:val="21"/>
                <w:szCs w:val="21"/>
              </w:rPr>
            </w:pPr>
            <w:r>
              <w:rPr>
                <w:rFonts w:hint="eastAsia" w:asciiTheme="minorEastAsia" w:hAnsiTheme="minorEastAsia" w:eastAsiaTheme="minorEastAsia"/>
                <w:kern w:val="0"/>
                <w:sz w:val="21"/>
                <w:szCs w:val="21"/>
              </w:rPr>
              <w:t>医疗卫生</w:t>
            </w:r>
          </w:p>
        </w:tc>
        <w:tc>
          <w:tcPr>
            <w:tcW w:w="1826" w:type="pct"/>
            <w:gridSpan w:val="2"/>
            <w:vAlign w:val="center"/>
          </w:tcPr>
          <w:p w14:paraId="7BCCADA5">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综合医院、专科医院</w:t>
            </w:r>
          </w:p>
        </w:tc>
        <w:tc>
          <w:tcPr>
            <w:tcW w:w="1102" w:type="pct"/>
            <w:vAlign w:val="center"/>
          </w:tcPr>
          <w:p w14:paraId="680008E1">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车位/100</w:t>
            </w:r>
            <w:r>
              <w:rPr>
                <w:rFonts w:hint="eastAsia" w:asciiTheme="minorEastAsia" w:hAnsiTheme="minorEastAsia" w:eastAsiaTheme="minorEastAsia"/>
                <w:kern w:val="0"/>
                <w:sz w:val="21"/>
                <w:szCs w:val="21"/>
              </w:rPr>
              <w:t xml:space="preserve"> m</w:t>
            </w:r>
            <w:r>
              <w:rPr>
                <w:rFonts w:asciiTheme="minorEastAsia" w:hAnsiTheme="minorEastAsia" w:eastAsiaTheme="minorEastAsia"/>
                <w:kern w:val="0"/>
                <w:sz w:val="21"/>
                <w:szCs w:val="21"/>
                <w:vertAlign w:val="superscript"/>
              </w:rPr>
              <w:t>2</w:t>
            </w:r>
            <w:r>
              <w:rPr>
                <w:rFonts w:asciiTheme="minorEastAsia" w:hAnsiTheme="minorEastAsia" w:eastAsiaTheme="minorEastAsia"/>
                <w:kern w:val="0"/>
                <w:sz w:val="21"/>
                <w:szCs w:val="21"/>
              </w:rPr>
              <w:t>建筑面积</w:t>
            </w:r>
          </w:p>
        </w:tc>
        <w:tc>
          <w:tcPr>
            <w:tcW w:w="517" w:type="pct"/>
            <w:vAlign w:val="center"/>
          </w:tcPr>
          <w:p w14:paraId="7AF16A46">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3.2</w:t>
            </w:r>
          </w:p>
        </w:tc>
        <w:tc>
          <w:tcPr>
            <w:tcW w:w="474" w:type="pct"/>
            <w:vAlign w:val="center"/>
          </w:tcPr>
          <w:p w14:paraId="0B6F943A">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2.4</w:t>
            </w:r>
          </w:p>
        </w:tc>
        <w:tc>
          <w:tcPr>
            <w:tcW w:w="537" w:type="pct"/>
            <w:vAlign w:val="center"/>
          </w:tcPr>
          <w:p w14:paraId="77BB791C">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1.6</w:t>
            </w:r>
          </w:p>
        </w:tc>
      </w:tr>
      <w:tr w14:paraId="25E47ED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544" w:type="pct"/>
            <w:vMerge w:val="continue"/>
            <w:vAlign w:val="center"/>
          </w:tcPr>
          <w:p w14:paraId="53E2D801">
            <w:pPr>
              <w:widowControl/>
              <w:jc w:val="center"/>
              <w:rPr>
                <w:rFonts w:asciiTheme="minorEastAsia" w:hAnsiTheme="minorEastAsia" w:eastAsiaTheme="minorEastAsia"/>
                <w:kern w:val="0"/>
                <w:sz w:val="21"/>
                <w:szCs w:val="21"/>
              </w:rPr>
            </w:pPr>
          </w:p>
        </w:tc>
        <w:tc>
          <w:tcPr>
            <w:tcW w:w="1826" w:type="pct"/>
            <w:gridSpan w:val="2"/>
            <w:vAlign w:val="center"/>
          </w:tcPr>
          <w:p w14:paraId="5039B4CF">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社区卫生防疫设施</w:t>
            </w:r>
          </w:p>
        </w:tc>
        <w:tc>
          <w:tcPr>
            <w:tcW w:w="1102" w:type="pct"/>
            <w:vAlign w:val="center"/>
          </w:tcPr>
          <w:p w14:paraId="6A46F01B">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车位/100</w:t>
            </w:r>
            <w:r>
              <w:rPr>
                <w:rFonts w:hint="eastAsia" w:asciiTheme="minorEastAsia" w:hAnsiTheme="minorEastAsia" w:eastAsiaTheme="minorEastAsia"/>
                <w:kern w:val="0"/>
                <w:sz w:val="21"/>
                <w:szCs w:val="21"/>
              </w:rPr>
              <w:t xml:space="preserve"> m</w:t>
            </w:r>
            <w:r>
              <w:rPr>
                <w:rFonts w:asciiTheme="minorEastAsia" w:hAnsiTheme="minorEastAsia" w:eastAsiaTheme="minorEastAsia"/>
                <w:kern w:val="0"/>
                <w:sz w:val="21"/>
                <w:szCs w:val="21"/>
                <w:vertAlign w:val="superscript"/>
              </w:rPr>
              <w:t>2</w:t>
            </w:r>
            <w:r>
              <w:rPr>
                <w:rFonts w:asciiTheme="minorEastAsia" w:hAnsiTheme="minorEastAsia" w:eastAsiaTheme="minorEastAsia"/>
                <w:kern w:val="0"/>
                <w:sz w:val="21"/>
                <w:szCs w:val="21"/>
              </w:rPr>
              <w:t>建筑面积</w:t>
            </w:r>
          </w:p>
        </w:tc>
        <w:tc>
          <w:tcPr>
            <w:tcW w:w="517" w:type="pct"/>
            <w:vAlign w:val="center"/>
          </w:tcPr>
          <w:p w14:paraId="4C784574">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4.0</w:t>
            </w:r>
          </w:p>
        </w:tc>
        <w:tc>
          <w:tcPr>
            <w:tcW w:w="474" w:type="pct"/>
            <w:vAlign w:val="center"/>
          </w:tcPr>
          <w:p w14:paraId="2D71C36D">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2.4</w:t>
            </w:r>
          </w:p>
        </w:tc>
        <w:tc>
          <w:tcPr>
            <w:tcW w:w="537" w:type="pct"/>
            <w:vAlign w:val="center"/>
          </w:tcPr>
          <w:p w14:paraId="2F4883A5">
            <w:pPr>
              <w:jc w:val="center"/>
              <w:rPr>
                <w:rFonts w:asciiTheme="minorEastAsia" w:hAnsiTheme="minorEastAsia" w:eastAsiaTheme="minorEastAsia"/>
                <w:sz w:val="21"/>
                <w:szCs w:val="21"/>
              </w:rPr>
            </w:pPr>
            <w:r>
              <w:rPr>
                <w:rFonts w:asciiTheme="minorEastAsia" w:hAnsiTheme="minorEastAsia" w:eastAsiaTheme="minorEastAsia"/>
                <w:kern w:val="0"/>
                <w:sz w:val="21"/>
                <w:szCs w:val="21"/>
              </w:rPr>
              <w:t>1.6</w:t>
            </w:r>
          </w:p>
        </w:tc>
      </w:tr>
      <w:tr w14:paraId="0F99D84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544" w:type="pct"/>
            <w:vMerge w:val="continue"/>
            <w:vAlign w:val="center"/>
          </w:tcPr>
          <w:p w14:paraId="0D280AC5">
            <w:pPr>
              <w:widowControl/>
              <w:jc w:val="center"/>
              <w:rPr>
                <w:rFonts w:asciiTheme="minorEastAsia" w:hAnsiTheme="minorEastAsia" w:eastAsiaTheme="minorEastAsia"/>
                <w:kern w:val="0"/>
                <w:sz w:val="21"/>
                <w:szCs w:val="21"/>
              </w:rPr>
            </w:pPr>
          </w:p>
        </w:tc>
        <w:tc>
          <w:tcPr>
            <w:tcW w:w="1826" w:type="pct"/>
            <w:gridSpan w:val="2"/>
            <w:vAlign w:val="center"/>
          </w:tcPr>
          <w:p w14:paraId="11CF4DED">
            <w:pPr>
              <w:widowControl/>
              <w:jc w:val="center"/>
              <w:rPr>
                <w:rFonts w:asciiTheme="minorEastAsia" w:hAnsiTheme="minorEastAsia" w:eastAsiaTheme="minorEastAsia"/>
                <w:kern w:val="0"/>
                <w:sz w:val="21"/>
                <w:szCs w:val="21"/>
              </w:rPr>
            </w:pPr>
            <w:r>
              <w:rPr>
                <w:rFonts w:hint="eastAsia" w:asciiTheme="minorEastAsia" w:hAnsiTheme="minorEastAsia" w:eastAsiaTheme="minorEastAsia"/>
                <w:kern w:val="0"/>
                <w:sz w:val="21"/>
                <w:szCs w:val="21"/>
              </w:rPr>
              <w:t>疗养院</w:t>
            </w:r>
          </w:p>
        </w:tc>
        <w:tc>
          <w:tcPr>
            <w:tcW w:w="1102" w:type="pct"/>
            <w:vAlign w:val="center"/>
          </w:tcPr>
          <w:p w14:paraId="61622A4A">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车位/100</w:t>
            </w:r>
            <w:r>
              <w:rPr>
                <w:rFonts w:hint="eastAsia" w:asciiTheme="minorEastAsia" w:hAnsiTheme="minorEastAsia" w:eastAsiaTheme="minorEastAsia"/>
                <w:kern w:val="0"/>
                <w:sz w:val="21"/>
                <w:szCs w:val="21"/>
              </w:rPr>
              <w:t xml:space="preserve"> m</w:t>
            </w:r>
            <w:r>
              <w:rPr>
                <w:rFonts w:asciiTheme="minorEastAsia" w:hAnsiTheme="minorEastAsia" w:eastAsiaTheme="minorEastAsia"/>
                <w:kern w:val="0"/>
                <w:sz w:val="21"/>
                <w:szCs w:val="21"/>
                <w:vertAlign w:val="superscript"/>
              </w:rPr>
              <w:t>2</w:t>
            </w:r>
            <w:r>
              <w:rPr>
                <w:rFonts w:asciiTheme="minorEastAsia" w:hAnsiTheme="minorEastAsia" w:eastAsiaTheme="minorEastAsia"/>
                <w:kern w:val="0"/>
                <w:sz w:val="21"/>
                <w:szCs w:val="21"/>
              </w:rPr>
              <w:t>建筑面积</w:t>
            </w:r>
          </w:p>
        </w:tc>
        <w:tc>
          <w:tcPr>
            <w:tcW w:w="517" w:type="pct"/>
            <w:vAlign w:val="center"/>
          </w:tcPr>
          <w:p w14:paraId="7753EB97">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2.0</w:t>
            </w:r>
          </w:p>
        </w:tc>
        <w:tc>
          <w:tcPr>
            <w:tcW w:w="474" w:type="pct"/>
            <w:vAlign w:val="center"/>
          </w:tcPr>
          <w:p w14:paraId="5BEB3CA7">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2.0</w:t>
            </w:r>
          </w:p>
        </w:tc>
        <w:tc>
          <w:tcPr>
            <w:tcW w:w="537" w:type="pct"/>
            <w:vAlign w:val="center"/>
          </w:tcPr>
          <w:p w14:paraId="3420AFEC">
            <w:pPr>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2.0</w:t>
            </w:r>
          </w:p>
        </w:tc>
      </w:tr>
      <w:tr w14:paraId="5F91F37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370" w:type="pct"/>
            <w:gridSpan w:val="3"/>
            <w:vAlign w:val="center"/>
          </w:tcPr>
          <w:p w14:paraId="4E35B532">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影剧院</w:t>
            </w:r>
          </w:p>
        </w:tc>
        <w:tc>
          <w:tcPr>
            <w:tcW w:w="1102" w:type="pct"/>
            <w:vAlign w:val="center"/>
          </w:tcPr>
          <w:p w14:paraId="1BBF4363">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车位/100座位</w:t>
            </w:r>
          </w:p>
        </w:tc>
        <w:tc>
          <w:tcPr>
            <w:tcW w:w="517" w:type="pct"/>
            <w:vAlign w:val="center"/>
          </w:tcPr>
          <w:p w14:paraId="1A12C53C">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2.8</w:t>
            </w:r>
          </w:p>
        </w:tc>
        <w:tc>
          <w:tcPr>
            <w:tcW w:w="474" w:type="pct"/>
            <w:vAlign w:val="center"/>
          </w:tcPr>
          <w:p w14:paraId="2A6B6C09">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2.4</w:t>
            </w:r>
          </w:p>
        </w:tc>
        <w:tc>
          <w:tcPr>
            <w:tcW w:w="537" w:type="pct"/>
            <w:vAlign w:val="center"/>
          </w:tcPr>
          <w:p w14:paraId="63FFE407">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1.6</w:t>
            </w:r>
          </w:p>
        </w:tc>
      </w:tr>
      <w:tr w14:paraId="1A05775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370" w:type="pct"/>
            <w:gridSpan w:val="3"/>
            <w:vAlign w:val="center"/>
          </w:tcPr>
          <w:p w14:paraId="39BDA9BF">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博物馆、图书馆</w:t>
            </w:r>
          </w:p>
        </w:tc>
        <w:tc>
          <w:tcPr>
            <w:tcW w:w="1102" w:type="pct"/>
            <w:vAlign w:val="center"/>
          </w:tcPr>
          <w:p w14:paraId="53DD4D3B">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车位/100</w:t>
            </w:r>
            <w:r>
              <w:rPr>
                <w:rFonts w:hint="eastAsia" w:asciiTheme="minorEastAsia" w:hAnsiTheme="minorEastAsia" w:eastAsiaTheme="minorEastAsia"/>
                <w:kern w:val="0"/>
                <w:sz w:val="21"/>
                <w:szCs w:val="21"/>
              </w:rPr>
              <w:t xml:space="preserve"> m</w:t>
            </w:r>
            <w:r>
              <w:rPr>
                <w:rFonts w:asciiTheme="minorEastAsia" w:hAnsiTheme="minorEastAsia" w:eastAsiaTheme="minorEastAsia"/>
                <w:kern w:val="0"/>
                <w:sz w:val="21"/>
                <w:szCs w:val="21"/>
                <w:vertAlign w:val="superscript"/>
              </w:rPr>
              <w:t>2</w:t>
            </w:r>
            <w:r>
              <w:rPr>
                <w:rFonts w:asciiTheme="minorEastAsia" w:hAnsiTheme="minorEastAsia" w:eastAsiaTheme="minorEastAsia"/>
                <w:kern w:val="0"/>
                <w:sz w:val="21"/>
                <w:szCs w:val="21"/>
              </w:rPr>
              <w:t>建筑面积</w:t>
            </w:r>
          </w:p>
        </w:tc>
        <w:tc>
          <w:tcPr>
            <w:tcW w:w="517" w:type="pct"/>
            <w:vAlign w:val="center"/>
          </w:tcPr>
          <w:p w14:paraId="58283551">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1.6</w:t>
            </w:r>
          </w:p>
        </w:tc>
        <w:tc>
          <w:tcPr>
            <w:tcW w:w="474" w:type="pct"/>
            <w:vAlign w:val="center"/>
          </w:tcPr>
          <w:p w14:paraId="7F2AF9C1">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1.2</w:t>
            </w:r>
          </w:p>
        </w:tc>
        <w:tc>
          <w:tcPr>
            <w:tcW w:w="537" w:type="pct"/>
            <w:vAlign w:val="center"/>
          </w:tcPr>
          <w:p w14:paraId="44989D6A">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1.2</w:t>
            </w:r>
          </w:p>
        </w:tc>
      </w:tr>
      <w:tr w14:paraId="17BCEA1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370" w:type="pct"/>
            <w:gridSpan w:val="3"/>
            <w:vAlign w:val="center"/>
          </w:tcPr>
          <w:p w14:paraId="61A18E31">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展览馆、会议中心</w:t>
            </w:r>
          </w:p>
        </w:tc>
        <w:tc>
          <w:tcPr>
            <w:tcW w:w="1102" w:type="pct"/>
            <w:vAlign w:val="center"/>
          </w:tcPr>
          <w:p w14:paraId="0838FF35">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车位/100</w:t>
            </w:r>
            <w:r>
              <w:rPr>
                <w:rFonts w:hint="eastAsia" w:asciiTheme="minorEastAsia" w:hAnsiTheme="minorEastAsia" w:eastAsiaTheme="minorEastAsia"/>
                <w:kern w:val="0"/>
                <w:sz w:val="21"/>
                <w:szCs w:val="21"/>
              </w:rPr>
              <w:t xml:space="preserve"> m</w:t>
            </w:r>
            <w:r>
              <w:rPr>
                <w:rFonts w:asciiTheme="minorEastAsia" w:hAnsiTheme="minorEastAsia" w:eastAsiaTheme="minorEastAsia"/>
                <w:kern w:val="0"/>
                <w:sz w:val="21"/>
                <w:szCs w:val="21"/>
                <w:vertAlign w:val="superscript"/>
              </w:rPr>
              <w:t>2</w:t>
            </w:r>
            <w:r>
              <w:rPr>
                <w:rFonts w:asciiTheme="minorEastAsia" w:hAnsiTheme="minorEastAsia" w:eastAsiaTheme="minorEastAsia"/>
                <w:kern w:val="0"/>
                <w:sz w:val="21"/>
                <w:szCs w:val="21"/>
              </w:rPr>
              <w:t>建筑面积</w:t>
            </w:r>
          </w:p>
        </w:tc>
        <w:tc>
          <w:tcPr>
            <w:tcW w:w="517" w:type="pct"/>
            <w:vAlign w:val="center"/>
          </w:tcPr>
          <w:p w14:paraId="7E422419">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1.6</w:t>
            </w:r>
          </w:p>
        </w:tc>
        <w:tc>
          <w:tcPr>
            <w:tcW w:w="474" w:type="pct"/>
            <w:vAlign w:val="center"/>
          </w:tcPr>
          <w:p w14:paraId="188960E0">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1.2</w:t>
            </w:r>
          </w:p>
        </w:tc>
        <w:tc>
          <w:tcPr>
            <w:tcW w:w="537" w:type="pct"/>
            <w:vAlign w:val="center"/>
          </w:tcPr>
          <w:p w14:paraId="4F4D4B77">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0.8</w:t>
            </w:r>
          </w:p>
        </w:tc>
      </w:tr>
      <w:tr w14:paraId="282E5D1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44" w:type="pct"/>
            <w:vMerge w:val="restart"/>
            <w:vAlign w:val="center"/>
          </w:tcPr>
          <w:p w14:paraId="272D695B">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体育场馆</w:t>
            </w:r>
          </w:p>
        </w:tc>
        <w:tc>
          <w:tcPr>
            <w:tcW w:w="1826" w:type="pct"/>
            <w:gridSpan w:val="2"/>
            <w:vAlign w:val="center"/>
          </w:tcPr>
          <w:p w14:paraId="1560839E">
            <w:pPr>
              <w:widowControl/>
              <w:jc w:val="center"/>
              <w:rPr>
                <w:rFonts w:asciiTheme="minorEastAsia" w:hAnsiTheme="minorEastAsia" w:eastAsiaTheme="minorEastAsia"/>
                <w:kern w:val="0"/>
                <w:sz w:val="21"/>
                <w:szCs w:val="21"/>
              </w:rPr>
            </w:pPr>
            <w:r>
              <w:rPr>
                <w:rFonts w:hint="eastAsia" w:asciiTheme="minorEastAsia" w:hAnsiTheme="minorEastAsia" w:eastAsiaTheme="minorEastAsia"/>
                <w:kern w:val="0"/>
                <w:sz w:val="21"/>
                <w:szCs w:val="21"/>
              </w:rPr>
              <w:t>大型体育场馆</w:t>
            </w:r>
          </w:p>
        </w:tc>
        <w:tc>
          <w:tcPr>
            <w:tcW w:w="1102" w:type="pct"/>
            <w:vAlign w:val="center"/>
          </w:tcPr>
          <w:p w14:paraId="03400CDA">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车位/100座位</w:t>
            </w:r>
          </w:p>
        </w:tc>
        <w:tc>
          <w:tcPr>
            <w:tcW w:w="517" w:type="pct"/>
            <w:vAlign w:val="center"/>
          </w:tcPr>
          <w:p w14:paraId="332147E9">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1.6</w:t>
            </w:r>
          </w:p>
        </w:tc>
        <w:tc>
          <w:tcPr>
            <w:tcW w:w="474" w:type="pct"/>
            <w:vAlign w:val="center"/>
          </w:tcPr>
          <w:p w14:paraId="4FBD246B">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1.2</w:t>
            </w:r>
          </w:p>
        </w:tc>
        <w:tc>
          <w:tcPr>
            <w:tcW w:w="537" w:type="pct"/>
            <w:vAlign w:val="center"/>
          </w:tcPr>
          <w:p w14:paraId="224C72B8">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1.2</w:t>
            </w:r>
          </w:p>
        </w:tc>
      </w:tr>
      <w:tr w14:paraId="7DD3220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44" w:type="pct"/>
            <w:vMerge w:val="continue"/>
            <w:vAlign w:val="center"/>
          </w:tcPr>
          <w:p w14:paraId="30443F84">
            <w:pPr>
              <w:widowControl/>
              <w:jc w:val="center"/>
              <w:rPr>
                <w:rFonts w:asciiTheme="minorEastAsia" w:hAnsiTheme="minorEastAsia" w:eastAsiaTheme="minorEastAsia"/>
                <w:kern w:val="0"/>
                <w:sz w:val="21"/>
                <w:szCs w:val="21"/>
              </w:rPr>
            </w:pPr>
          </w:p>
        </w:tc>
        <w:tc>
          <w:tcPr>
            <w:tcW w:w="1826" w:type="pct"/>
            <w:gridSpan w:val="2"/>
            <w:vAlign w:val="center"/>
          </w:tcPr>
          <w:p w14:paraId="5AD46E52">
            <w:pPr>
              <w:widowControl/>
              <w:jc w:val="center"/>
              <w:rPr>
                <w:rFonts w:asciiTheme="minorEastAsia" w:hAnsiTheme="minorEastAsia" w:eastAsiaTheme="minorEastAsia"/>
                <w:kern w:val="0"/>
                <w:sz w:val="21"/>
                <w:szCs w:val="21"/>
              </w:rPr>
            </w:pPr>
            <w:r>
              <w:rPr>
                <w:rFonts w:hint="eastAsia" w:asciiTheme="minorEastAsia" w:hAnsiTheme="minorEastAsia" w:eastAsiaTheme="minorEastAsia"/>
                <w:kern w:val="0"/>
                <w:sz w:val="21"/>
                <w:szCs w:val="21"/>
              </w:rPr>
              <w:t>小型体育场馆</w:t>
            </w:r>
          </w:p>
        </w:tc>
        <w:tc>
          <w:tcPr>
            <w:tcW w:w="1102" w:type="pct"/>
            <w:vAlign w:val="center"/>
          </w:tcPr>
          <w:p w14:paraId="4C238F5F">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车位/100</w:t>
            </w:r>
            <w:r>
              <w:rPr>
                <w:rFonts w:hint="eastAsia" w:asciiTheme="minorEastAsia" w:hAnsiTheme="minorEastAsia" w:eastAsiaTheme="minorEastAsia"/>
                <w:kern w:val="0"/>
                <w:sz w:val="21"/>
                <w:szCs w:val="21"/>
              </w:rPr>
              <w:t xml:space="preserve"> m</w:t>
            </w:r>
            <w:r>
              <w:rPr>
                <w:rFonts w:asciiTheme="minorEastAsia" w:hAnsiTheme="minorEastAsia" w:eastAsiaTheme="minorEastAsia"/>
                <w:kern w:val="0"/>
                <w:sz w:val="21"/>
                <w:szCs w:val="21"/>
                <w:vertAlign w:val="superscript"/>
              </w:rPr>
              <w:t>2</w:t>
            </w:r>
            <w:r>
              <w:rPr>
                <w:rFonts w:asciiTheme="minorEastAsia" w:hAnsiTheme="minorEastAsia" w:eastAsiaTheme="minorEastAsia"/>
                <w:kern w:val="0"/>
                <w:sz w:val="21"/>
                <w:szCs w:val="21"/>
              </w:rPr>
              <w:t>建筑面积</w:t>
            </w:r>
          </w:p>
        </w:tc>
        <w:tc>
          <w:tcPr>
            <w:tcW w:w="517" w:type="pct"/>
            <w:vAlign w:val="center"/>
          </w:tcPr>
          <w:p w14:paraId="32CF4C85">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1.6</w:t>
            </w:r>
          </w:p>
        </w:tc>
        <w:tc>
          <w:tcPr>
            <w:tcW w:w="474" w:type="pct"/>
            <w:vAlign w:val="center"/>
          </w:tcPr>
          <w:p w14:paraId="3689657C">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1.2</w:t>
            </w:r>
          </w:p>
        </w:tc>
        <w:tc>
          <w:tcPr>
            <w:tcW w:w="537" w:type="pct"/>
            <w:vAlign w:val="center"/>
          </w:tcPr>
          <w:p w14:paraId="12FA10A7">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1.2</w:t>
            </w:r>
          </w:p>
        </w:tc>
      </w:tr>
      <w:tr w14:paraId="3DDE2D5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544" w:type="pct"/>
            <w:vMerge w:val="restart"/>
            <w:vAlign w:val="center"/>
          </w:tcPr>
          <w:p w14:paraId="4D077027">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学校</w:t>
            </w:r>
          </w:p>
        </w:tc>
        <w:tc>
          <w:tcPr>
            <w:tcW w:w="1826" w:type="pct"/>
            <w:gridSpan w:val="2"/>
            <w:vAlign w:val="center"/>
          </w:tcPr>
          <w:p w14:paraId="193FF231">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中小学、幼儿园</w:t>
            </w:r>
          </w:p>
        </w:tc>
        <w:tc>
          <w:tcPr>
            <w:tcW w:w="1102" w:type="pct"/>
            <w:vAlign w:val="center"/>
          </w:tcPr>
          <w:p w14:paraId="05324F6D">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车位/100师生</w:t>
            </w:r>
          </w:p>
        </w:tc>
        <w:tc>
          <w:tcPr>
            <w:tcW w:w="1528" w:type="pct"/>
            <w:gridSpan w:val="3"/>
            <w:vAlign w:val="center"/>
          </w:tcPr>
          <w:p w14:paraId="0AA24667">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中学70/小学20/幼儿园5</w:t>
            </w:r>
          </w:p>
        </w:tc>
      </w:tr>
      <w:tr w14:paraId="6F6DC96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544" w:type="pct"/>
            <w:vMerge w:val="continue"/>
            <w:shd w:val="clear" w:color="auto" w:fill="FFFFFF"/>
            <w:vAlign w:val="center"/>
          </w:tcPr>
          <w:p w14:paraId="0BDC9EB6">
            <w:pPr>
              <w:widowControl/>
              <w:jc w:val="center"/>
              <w:rPr>
                <w:rFonts w:asciiTheme="minorEastAsia" w:hAnsiTheme="minorEastAsia" w:eastAsiaTheme="minorEastAsia"/>
                <w:kern w:val="0"/>
                <w:sz w:val="21"/>
                <w:szCs w:val="21"/>
              </w:rPr>
            </w:pPr>
          </w:p>
        </w:tc>
        <w:tc>
          <w:tcPr>
            <w:tcW w:w="1826" w:type="pct"/>
            <w:gridSpan w:val="2"/>
            <w:vAlign w:val="center"/>
          </w:tcPr>
          <w:p w14:paraId="098AECEA">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中专、大专、职校</w:t>
            </w:r>
          </w:p>
        </w:tc>
        <w:tc>
          <w:tcPr>
            <w:tcW w:w="1102" w:type="pct"/>
            <w:vAlign w:val="center"/>
          </w:tcPr>
          <w:p w14:paraId="2DAA95EC">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车位/100师生</w:t>
            </w:r>
          </w:p>
        </w:tc>
        <w:tc>
          <w:tcPr>
            <w:tcW w:w="517" w:type="pct"/>
            <w:vAlign w:val="center"/>
          </w:tcPr>
          <w:p w14:paraId="4FD799B0">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80</w:t>
            </w:r>
          </w:p>
        </w:tc>
        <w:tc>
          <w:tcPr>
            <w:tcW w:w="474" w:type="pct"/>
            <w:vAlign w:val="center"/>
          </w:tcPr>
          <w:p w14:paraId="370797E7">
            <w:pPr>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80</w:t>
            </w:r>
          </w:p>
        </w:tc>
        <w:tc>
          <w:tcPr>
            <w:tcW w:w="537" w:type="pct"/>
            <w:vAlign w:val="center"/>
          </w:tcPr>
          <w:p w14:paraId="61B3C409">
            <w:pPr>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50</w:t>
            </w:r>
          </w:p>
        </w:tc>
      </w:tr>
      <w:tr w14:paraId="5D28CF2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544" w:type="pct"/>
            <w:vMerge w:val="continue"/>
            <w:shd w:val="clear" w:color="auto" w:fill="FFFFFF"/>
            <w:vAlign w:val="center"/>
          </w:tcPr>
          <w:p w14:paraId="674754D2">
            <w:pPr>
              <w:widowControl/>
              <w:jc w:val="center"/>
              <w:rPr>
                <w:rFonts w:asciiTheme="minorEastAsia" w:hAnsiTheme="minorEastAsia" w:eastAsiaTheme="minorEastAsia"/>
                <w:kern w:val="0"/>
                <w:sz w:val="21"/>
                <w:szCs w:val="21"/>
              </w:rPr>
            </w:pPr>
          </w:p>
        </w:tc>
        <w:tc>
          <w:tcPr>
            <w:tcW w:w="1826" w:type="pct"/>
            <w:gridSpan w:val="2"/>
            <w:vAlign w:val="center"/>
          </w:tcPr>
          <w:p w14:paraId="4B0C9F01">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综合性大学</w:t>
            </w:r>
          </w:p>
        </w:tc>
        <w:tc>
          <w:tcPr>
            <w:tcW w:w="1102" w:type="pct"/>
            <w:vAlign w:val="center"/>
          </w:tcPr>
          <w:p w14:paraId="598A08F5">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车位/100师生</w:t>
            </w:r>
          </w:p>
        </w:tc>
        <w:tc>
          <w:tcPr>
            <w:tcW w:w="517" w:type="pct"/>
            <w:vAlign w:val="center"/>
          </w:tcPr>
          <w:p w14:paraId="476B2148">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80</w:t>
            </w:r>
          </w:p>
        </w:tc>
        <w:tc>
          <w:tcPr>
            <w:tcW w:w="474" w:type="pct"/>
            <w:vAlign w:val="center"/>
          </w:tcPr>
          <w:p w14:paraId="64CB1F03">
            <w:pPr>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80</w:t>
            </w:r>
          </w:p>
        </w:tc>
        <w:tc>
          <w:tcPr>
            <w:tcW w:w="537" w:type="pct"/>
            <w:vAlign w:val="center"/>
          </w:tcPr>
          <w:p w14:paraId="6592E244">
            <w:pPr>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50</w:t>
            </w:r>
          </w:p>
        </w:tc>
      </w:tr>
      <w:tr w14:paraId="724D272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544" w:type="pct"/>
            <w:vMerge w:val="restart"/>
            <w:vAlign w:val="center"/>
          </w:tcPr>
          <w:p w14:paraId="752A00A4">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游览场所</w:t>
            </w:r>
          </w:p>
        </w:tc>
        <w:tc>
          <w:tcPr>
            <w:tcW w:w="1826" w:type="pct"/>
            <w:gridSpan w:val="2"/>
            <w:vAlign w:val="center"/>
          </w:tcPr>
          <w:p w14:paraId="4B9D0900">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主题公园</w:t>
            </w:r>
          </w:p>
        </w:tc>
        <w:tc>
          <w:tcPr>
            <w:tcW w:w="1102" w:type="pct"/>
            <w:vAlign w:val="center"/>
          </w:tcPr>
          <w:p w14:paraId="2BE5443C">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车位/公顷占地面积</w:t>
            </w:r>
          </w:p>
        </w:tc>
        <w:tc>
          <w:tcPr>
            <w:tcW w:w="517" w:type="pct"/>
            <w:vAlign w:val="center"/>
          </w:tcPr>
          <w:p w14:paraId="7BEBB272">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15.0</w:t>
            </w:r>
          </w:p>
        </w:tc>
        <w:tc>
          <w:tcPr>
            <w:tcW w:w="474" w:type="pct"/>
            <w:vAlign w:val="center"/>
          </w:tcPr>
          <w:p w14:paraId="5BBD2032">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10.0</w:t>
            </w:r>
          </w:p>
        </w:tc>
        <w:tc>
          <w:tcPr>
            <w:tcW w:w="537" w:type="pct"/>
            <w:vAlign w:val="center"/>
          </w:tcPr>
          <w:p w14:paraId="510B6022">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5.0</w:t>
            </w:r>
          </w:p>
        </w:tc>
      </w:tr>
      <w:tr w14:paraId="217D168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544" w:type="pct"/>
            <w:vMerge w:val="continue"/>
            <w:tcBorders>
              <w:bottom w:val="single" w:color="auto" w:sz="4" w:space="0"/>
            </w:tcBorders>
            <w:shd w:val="clear" w:color="auto" w:fill="FFFFFF"/>
            <w:vAlign w:val="center"/>
          </w:tcPr>
          <w:p w14:paraId="1F5403AC">
            <w:pPr>
              <w:widowControl/>
              <w:jc w:val="center"/>
              <w:rPr>
                <w:rFonts w:asciiTheme="minorEastAsia" w:hAnsiTheme="minorEastAsia" w:eastAsiaTheme="minorEastAsia"/>
                <w:kern w:val="0"/>
                <w:sz w:val="21"/>
                <w:szCs w:val="21"/>
              </w:rPr>
            </w:pPr>
          </w:p>
        </w:tc>
        <w:tc>
          <w:tcPr>
            <w:tcW w:w="1826" w:type="pct"/>
            <w:gridSpan w:val="2"/>
            <w:tcBorders>
              <w:bottom w:val="single" w:color="auto" w:sz="4" w:space="0"/>
            </w:tcBorders>
            <w:vAlign w:val="center"/>
          </w:tcPr>
          <w:p w14:paraId="587DA1B6">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一般性公园、风景区</w:t>
            </w:r>
          </w:p>
        </w:tc>
        <w:tc>
          <w:tcPr>
            <w:tcW w:w="1102" w:type="pct"/>
            <w:vAlign w:val="center"/>
          </w:tcPr>
          <w:p w14:paraId="5D5D35F8">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车位/公顷占地面积</w:t>
            </w:r>
          </w:p>
        </w:tc>
        <w:tc>
          <w:tcPr>
            <w:tcW w:w="517" w:type="pct"/>
            <w:vAlign w:val="center"/>
          </w:tcPr>
          <w:p w14:paraId="17EB1F2B">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20.0</w:t>
            </w:r>
          </w:p>
        </w:tc>
        <w:tc>
          <w:tcPr>
            <w:tcW w:w="474" w:type="pct"/>
            <w:vAlign w:val="center"/>
          </w:tcPr>
          <w:p w14:paraId="735E44C3">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15.0</w:t>
            </w:r>
          </w:p>
        </w:tc>
        <w:tc>
          <w:tcPr>
            <w:tcW w:w="537" w:type="pct"/>
            <w:vAlign w:val="center"/>
          </w:tcPr>
          <w:p w14:paraId="367B81B9">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10.0</w:t>
            </w:r>
          </w:p>
        </w:tc>
      </w:tr>
      <w:tr w14:paraId="233E57C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2370" w:type="pct"/>
            <w:gridSpan w:val="3"/>
            <w:tcBorders>
              <w:top w:val="single" w:color="auto" w:sz="4" w:space="0"/>
              <w:bottom w:val="single" w:color="auto" w:sz="4" w:space="0"/>
            </w:tcBorders>
            <w:shd w:val="clear" w:color="auto" w:fill="auto"/>
            <w:vAlign w:val="center"/>
          </w:tcPr>
          <w:p w14:paraId="2568FBB0">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实验室</w:t>
            </w:r>
          </w:p>
        </w:tc>
        <w:tc>
          <w:tcPr>
            <w:tcW w:w="1102" w:type="pct"/>
            <w:vAlign w:val="center"/>
          </w:tcPr>
          <w:p w14:paraId="39AC5781">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车位/100</w:t>
            </w:r>
            <w:r>
              <w:rPr>
                <w:rFonts w:hint="eastAsia" w:asciiTheme="minorEastAsia" w:hAnsiTheme="minorEastAsia" w:eastAsiaTheme="minorEastAsia"/>
                <w:kern w:val="0"/>
                <w:sz w:val="21"/>
                <w:szCs w:val="21"/>
              </w:rPr>
              <w:t xml:space="preserve"> m</w:t>
            </w:r>
            <w:r>
              <w:rPr>
                <w:rFonts w:asciiTheme="minorEastAsia" w:hAnsiTheme="minorEastAsia" w:eastAsiaTheme="minorEastAsia"/>
                <w:kern w:val="0"/>
                <w:sz w:val="21"/>
                <w:szCs w:val="21"/>
                <w:vertAlign w:val="superscript"/>
              </w:rPr>
              <w:t>2</w:t>
            </w:r>
            <w:r>
              <w:rPr>
                <w:rFonts w:asciiTheme="minorEastAsia" w:hAnsiTheme="minorEastAsia" w:eastAsiaTheme="minorEastAsia"/>
                <w:kern w:val="0"/>
                <w:sz w:val="21"/>
                <w:szCs w:val="21"/>
              </w:rPr>
              <w:t>建筑面积</w:t>
            </w:r>
          </w:p>
        </w:tc>
        <w:tc>
          <w:tcPr>
            <w:tcW w:w="517" w:type="pct"/>
            <w:vAlign w:val="center"/>
          </w:tcPr>
          <w:p w14:paraId="0B633234">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1.6</w:t>
            </w:r>
          </w:p>
        </w:tc>
        <w:tc>
          <w:tcPr>
            <w:tcW w:w="474" w:type="pct"/>
            <w:vAlign w:val="center"/>
          </w:tcPr>
          <w:p w14:paraId="781EE60F">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1.2</w:t>
            </w:r>
          </w:p>
        </w:tc>
        <w:tc>
          <w:tcPr>
            <w:tcW w:w="537" w:type="pct"/>
            <w:vAlign w:val="center"/>
          </w:tcPr>
          <w:p w14:paraId="12E130A3">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1.2</w:t>
            </w:r>
          </w:p>
        </w:tc>
      </w:tr>
      <w:tr w14:paraId="1A56DBD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2370" w:type="pct"/>
            <w:gridSpan w:val="3"/>
            <w:tcBorders>
              <w:top w:val="single" w:color="auto" w:sz="4" w:space="0"/>
              <w:bottom w:val="single" w:color="auto" w:sz="4" w:space="0"/>
            </w:tcBorders>
            <w:shd w:val="clear" w:color="auto" w:fill="auto"/>
            <w:vAlign w:val="center"/>
          </w:tcPr>
          <w:p w14:paraId="78EBAA21">
            <w:pPr>
              <w:widowControl/>
              <w:jc w:val="center"/>
              <w:rPr>
                <w:rFonts w:asciiTheme="minorEastAsia" w:hAnsiTheme="minorEastAsia" w:eastAsiaTheme="minorEastAsia"/>
                <w:color w:val="000000"/>
                <w:kern w:val="0"/>
                <w:sz w:val="21"/>
                <w:szCs w:val="21"/>
              </w:rPr>
            </w:pPr>
            <w:r>
              <w:rPr>
                <w:rFonts w:hint="eastAsia" w:asciiTheme="minorEastAsia" w:hAnsiTheme="minorEastAsia" w:eastAsiaTheme="minorEastAsia"/>
                <w:color w:val="000000"/>
                <w:kern w:val="0"/>
                <w:sz w:val="21"/>
                <w:szCs w:val="21"/>
              </w:rPr>
              <w:t>无人及少人值守的研发、科研建筑（数据中心）</w:t>
            </w:r>
          </w:p>
        </w:tc>
        <w:tc>
          <w:tcPr>
            <w:tcW w:w="1102" w:type="pct"/>
            <w:vAlign w:val="center"/>
          </w:tcPr>
          <w:p w14:paraId="3CA6DC84">
            <w:pPr>
              <w:widowControl/>
              <w:jc w:val="center"/>
              <w:rPr>
                <w:rFonts w:asciiTheme="minorEastAsia" w:hAnsiTheme="minorEastAsia" w:eastAsiaTheme="minorEastAsia"/>
                <w:color w:val="000000"/>
                <w:kern w:val="0"/>
                <w:sz w:val="21"/>
                <w:szCs w:val="21"/>
              </w:rPr>
            </w:pPr>
            <w:r>
              <w:rPr>
                <w:rFonts w:asciiTheme="minorEastAsia" w:hAnsiTheme="minorEastAsia" w:eastAsiaTheme="minorEastAsia"/>
                <w:color w:val="000000"/>
                <w:kern w:val="0"/>
                <w:sz w:val="21"/>
                <w:szCs w:val="21"/>
              </w:rPr>
              <w:t>车位/100</w:t>
            </w:r>
            <w:r>
              <w:rPr>
                <w:rFonts w:hint="eastAsia" w:asciiTheme="minorEastAsia" w:hAnsiTheme="minorEastAsia" w:eastAsiaTheme="minorEastAsia"/>
                <w:color w:val="000000"/>
                <w:kern w:val="0"/>
                <w:sz w:val="21"/>
                <w:szCs w:val="21"/>
              </w:rPr>
              <w:t xml:space="preserve"> m</w:t>
            </w:r>
            <w:r>
              <w:rPr>
                <w:rFonts w:asciiTheme="minorEastAsia" w:hAnsiTheme="minorEastAsia" w:eastAsiaTheme="minorEastAsia"/>
                <w:color w:val="000000"/>
                <w:kern w:val="0"/>
                <w:sz w:val="21"/>
                <w:szCs w:val="21"/>
                <w:vertAlign w:val="superscript"/>
              </w:rPr>
              <w:t>2</w:t>
            </w:r>
            <w:r>
              <w:rPr>
                <w:rFonts w:asciiTheme="minorEastAsia" w:hAnsiTheme="minorEastAsia" w:eastAsiaTheme="minorEastAsia"/>
                <w:color w:val="000000"/>
                <w:kern w:val="0"/>
                <w:sz w:val="21"/>
                <w:szCs w:val="21"/>
              </w:rPr>
              <w:t>建筑面积</w:t>
            </w:r>
          </w:p>
        </w:tc>
        <w:tc>
          <w:tcPr>
            <w:tcW w:w="517" w:type="pct"/>
            <w:vAlign w:val="center"/>
          </w:tcPr>
          <w:p w14:paraId="12E53254">
            <w:pPr>
              <w:widowControl/>
              <w:jc w:val="center"/>
              <w:rPr>
                <w:rFonts w:asciiTheme="minorEastAsia" w:hAnsiTheme="minorEastAsia" w:eastAsiaTheme="minorEastAsia"/>
                <w:color w:val="000000"/>
                <w:kern w:val="0"/>
                <w:sz w:val="21"/>
                <w:szCs w:val="21"/>
              </w:rPr>
            </w:pPr>
            <w:r>
              <w:rPr>
                <w:rFonts w:asciiTheme="minorEastAsia" w:hAnsiTheme="minorEastAsia" w:eastAsiaTheme="minorEastAsia"/>
                <w:color w:val="000000"/>
                <w:kern w:val="0"/>
                <w:sz w:val="21"/>
                <w:szCs w:val="21"/>
              </w:rPr>
              <w:t>—</w:t>
            </w:r>
          </w:p>
        </w:tc>
        <w:tc>
          <w:tcPr>
            <w:tcW w:w="474" w:type="pct"/>
            <w:vAlign w:val="center"/>
          </w:tcPr>
          <w:p w14:paraId="2B0D65C9">
            <w:pPr>
              <w:widowControl/>
              <w:jc w:val="center"/>
              <w:rPr>
                <w:rFonts w:asciiTheme="minorEastAsia" w:hAnsiTheme="minorEastAsia" w:eastAsiaTheme="minorEastAsia"/>
                <w:color w:val="000000"/>
                <w:kern w:val="0"/>
                <w:sz w:val="21"/>
                <w:szCs w:val="21"/>
              </w:rPr>
            </w:pPr>
            <w:r>
              <w:rPr>
                <w:rFonts w:asciiTheme="minorEastAsia" w:hAnsiTheme="minorEastAsia" w:eastAsiaTheme="minorEastAsia"/>
                <w:color w:val="000000"/>
                <w:kern w:val="0"/>
                <w:sz w:val="21"/>
                <w:szCs w:val="21"/>
              </w:rPr>
              <w:t>1.0</w:t>
            </w:r>
          </w:p>
        </w:tc>
        <w:tc>
          <w:tcPr>
            <w:tcW w:w="537" w:type="pct"/>
            <w:vAlign w:val="center"/>
          </w:tcPr>
          <w:p w14:paraId="2497F8BE">
            <w:pPr>
              <w:widowControl/>
              <w:jc w:val="center"/>
              <w:rPr>
                <w:rFonts w:asciiTheme="minorEastAsia" w:hAnsiTheme="minorEastAsia" w:eastAsiaTheme="minorEastAsia"/>
                <w:color w:val="000000"/>
                <w:kern w:val="0"/>
                <w:sz w:val="21"/>
                <w:szCs w:val="21"/>
              </w:rPr>
            </w:pPr>
            <w:r>
              <w:rPr>
                <w:rFonts w:asciiTheme="minorEastAsia" w:hAnsiTheme="minorEastAsia" w:eastAsiaTheme="minorEastAsia"/>
                <w:color w:val="000000"/>
                <w:kern w:val="0"/>
                <w:sz w:val="21"/>
                <w:szCs w:val="21"/>
              </w:rPr>
              <w:t>1.0</w:t>
            </w:r>
          </w:p>
        </w:tc>
      </w:tr>
      <w:tr w14:paraId="30D678A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544" w:type="pct"/>
            <w:vMerge w:val="restart"/>
            <w:tcBorders>
              <w:top w:val="single" w:color="auto" w:sz="4" w:space="0"/>
            </w:tcBorders>
            <w:vAlign w:val="center"/>
          </w:tcPr>
          <w:p w14:paraId="2BBE376A">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工业</w:t>
            </w:r>
          </w:p>
        </w:tc>
        <w:tc>
          <w:tcPr>
            <w:tcW w:w="1826" w:type="pct"/>
            <w:gridSpan w:val="2"/>
            <w:tcBorders>
              <w:top w:val="single" w:color="auto" w:sz="4" w:space="0"/>
            </w:tcBorders>
            <w:vAlign w:val="center"/>
          </w:tcPr>
          <w:p w14:paraId="6132EC42">
            <w:pPr>
              <w:widowControl/>
              <w:jc w:val="center"/>
              <w:rPr>
                <w:rFonts w:asciiTheme="minorEastAsia" w:hAnsiTheme="minorEastAsia" w:eastAsiaTheme="minorEastAsia"/>
                <w:kern w:val="0"/>
                <w:sz w:val="21"/>
                <w:szCs w:val="21"/>
              </w:rPr>
            </w:pPr>
            <w:r>
              <w:rPr>
                <w:rFonts w:hint="eastAsia" w:asciiTheme="minorEastAsia" w:hAnsiTheme="minorEastAsia" w:eastAsiaTheme="minorEastAsia"/>
                <w:kern w:val="0"/>
                <w:sz w:val="21"/>
                <w:szCs w:val="21"/>
              </w:rPr>
              <w:t>普通工业</w:t>
            </w:r>
            <w:r>
              <w:rPr>
                <w:rFonts w:asciiTheme="minorEastAsia" w:hAnsiTheme="minorEastAsia" w:eastAsiaTheme="minorEastAsia"/>
                <w:kern w:val="0"/>
                <w:sz w:val="21"/>
                <w:szCs w:val="21"/>
              </w:rPr>
              <w:t>厂房</w:t>
            </w:r>
          </w:p>
        </w:tc>
        <w:tc>
          <w:tcPr>
            <w:tcW w:w="1102" w:type="pct"/>
            <w:vAlign w:val="center"/>
          </w:tcPr>
          <w:p w14:paraId="2D6C3199">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车位/100</w:t>
            </w:r>
            <w:r>
              <w:rPr>
                <w:rFonts w:hint="eastAsia" w:asciiTheme="minorEastAsia" w:hAnsiTheme="minorEastAsia" w:eastAsiaTheme="minorEastAsia"/>
                <w:kern w:val="0"/>
                <w:sz w:val="21"/>
                <w:szCs w:val="21"/>
              </w:rPr>
              <w:t xml:space="preserve"> m</w:t>
            </w:r>
            <w:r>
              <w:rPr>
                <w:rFonts w:asciiTheme="minorEastAsia" w:hAnsiTheme="minorEastAsia" w:eastAsiaTheme="minorEastAsia"/>
                <w:kern w:val="0"/>
                <w:sz w:val="21"/>
                <w:szCs w:val="21"/>
                <w:vertAlign w:val="superscript"/>
              </w:rPr>
              <w:t>2</w:t>
            </w:r>
            <w:r>
              <w:rPr>
                <w:rFonts w:asciiTheme="minorEastAsia" w:hAnsiTheme="minorEastAsia" w:eastAsiaTheme="minorEastAsia"/>
                <w:kern w:val="0"/>
                <w:sz w:val="21"/>
                <w:szCs w:val="21"/>
              </w:rPr>
              <w:t>建筑面积</w:t>
            </w:r>
          </w:p>
        </w:tc>
        <w:tc>
          <w:tcPr>
            <w:tcW w:w="517" w:type="pct"/>
            <w:vAlign w:val="center"/>
          </w:tcPr>
          <w:p w14:paraId="33833F5B">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w:t>
            </w:r>
          </w:p>
        </w:tc>
        <w:tc>
          <w:tcPr>
            <w:tcW w:w="474" w:type="pct"/>
            <w:vAlign w:val="center"/>
          </w:tcPr>
          <w:p w14:paraId="096FFFB6">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1.0</w:t>
            </w:r>
          </w:p>
        </w:tc>
        <w:tc>
          <w:tcPr>
            <w:tcW w:w="537" w:type="pct"/>
            <w:vAlign w:val="center"/>
          </w:tcPr>
          <w:p w14:paraId="375C7631">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1.0</w:t>
            </w:r>
          </w:p>
        </w:tc>
      </w:tr>
      <w:tr w14:paraId="071F5B6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544" w:type="pct"/>
            <w:vMerge w:val="continue"/>
            <w:vAlign w:val="center"/>
          </w:tcPr>
          <w:p w14:paraId="72056FC3">
            <w:pPr>
              <w:widowControl/>
              <w:jc w:val="center"/>
              <w:rPr>
                <w:rFonts w:asciiTheme="minorEastAsia" w:hAnsiTheme="minorEastAsia" w:eastAsiaTheme="minorEastAsia"/>
                <w:kern w:val="0"/>
                <w:sz w:val="21"/>
                <w:szCs w:val="21"/>
              </w:rPr>
            </w:pPr>
          </w:p>
        </w:tc>
        <w:tc>
          <w:tcPr>
            <w:tcW w:w="1826" w:type="pct"/>
            <w:gridSpan w:val="2"/>
            <w:vAlign w:val="center"/>
          </w:tcPr>
          <w:p w14:paraId="0BEC8835">
            <w:pPr>
              <w:widowControl/>
              <w:jc w:val="center"/>
              <w:rPr>
                <w:rFonts w:asciiTheme="minorEastAsia" w:hAnsiTheme="minorEastAsia" w:eastAsiaTheme="minorEastAsia"/>
                <w:kern w:val="0"/>
                <w:sz w:val="21"/>
                <w:szCs w:val="21"/>
              </w:rPr>
            </w:pPr>
            <w:r>
              <w:rPr>
                <w:rFonts w:hint="eastAsia" w:asciiTheme="minorEastAsia" w:hAnsiTheme="minorEastAsia" w:eastAsiaTheme="minorEastAsia"/>
                <w:kern w:val="0"/>
                <w:sz w:val="21"/>
                <w:szCs w:val="21"/>
              </w:rPr>
              <w:t>创新研发与服务用房</w:t>
            </w:r>
          </w:p>
        </w:tc>
        <w:tc>
          <w:tcPr>
            <w:tcW w:w="1102" w:type="pct"/>
            <w:vAlign w:val="center"/>
          </w:tcPr>
          <w:p w14:paraId="1056B245">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车位/100</w:t>
            </w:r>
            <w:r>
              <w:rPr>
                <w:rFonts w:hint="eastAsia" w:asciiTheme="minorEastAsia" w:hAnsiTheme="minorEastAsia" w:eastAsiaTheme="minorEastAsia"/>
                <w:kern w:val="0"/>
                <w:sz w:val="21"/>
                <w:szCs w:val="21"/>
              </w:rPr>
              <w:t xml:space="preserve"> m</w:t>
            </w:r>
            <w:r>
              <w:rPr>
                <w:rFonts w:asciiTheme="minorEastAsia" w:hAnsiTheme="minorEastAsia" w:eastAsiaTheme="minorEastAsia"/>
                <w:kern w:val="0"/>
                <w:sz w:val="21"/>
                <w:szCs w:val="21"/>
                <w:vertAlign w:val="superscript"/>
              </w:rPr>
              <w:t>2</w:t>
            </w:r>
            <w:r>
              <w:rPr>
                <w:rFonts w:asciiTheme="minorEastAsia" w:hAnsiTheme="minorEastAsia" w:eastAsiaTheme="minorEastAsia"/>
                <w:kern w:val="0"/>
                <w:sz w:val="21"/>
                <w:szCs w:val="21"/>
              </w:rPr>
              <w:t>建筑面积</w:t>
            </w:r>
          </w:p>
        </w:tc>
        <w:tc>
          <w:tcPr>
            <w:tcW w:w="517" w:type="pct"/>
            <w:vAlign w:val="center"/>
          </w:tcPr>
          <w:p w14:paraId="15C87931">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w:t>
            </w:r>
          </w:p>
        </w:tc>
        <w:tc>
          <w:tcPr>
            <w:tcW w:w="474" w:type="pct"/>
            <w:vAlign w:val="center"/>
          </w:tcPr>
          <w:p w14:paraId="4D92F7ED">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1.0</w:t>
            </w:r>
          </w:p>
        </w:tc>
        <w:tc>
          <w:tcPr>
            <w:tcW w:w="537" w:type="pct"/>
            <w:vAlign w:val="center"/>
          </w:tcPr>
          <w:p w14:paraId="74EF5DEA">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1.0</w:t>
            </w:r>
          </w:p>
        </w:tc>
      </w:tr>
      <w:tr w14:paraId="3424A7C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544" w:type="pct"/>
            <w:vMerge w:val="continue"/>
            <w:shd w:val="clear" w:color="auto" w:fill="FFFFFF"/>
            <w:vAlign w:val="center"/>
          </w:tcPr>
          <w:p w14:paraId="27C67A7B">
            <w:pPr>
              <w:widowControl/>
              <w:jc w:val="center"/>
              <w:rPr>
                <w:rFonts w:asciiTheme="minorEastAsia" w:hAnsiTheme="minorEastAsia" w:eastAsiaTheme="minorEastAsia"/>
                <w:kern w:val="0"/>
                <w:sz w:val="21"/>
                <w:szCs w:val="21"/>
              </w:rPr>
            </w:pPr>
          </w:p>
        </w:tc>
        <w:tc>
          <w:tcPr>
            <w:tcW w:w="1826" w:type="pct"/>
            <w:gridSpan w:val="2"/>
            <w:vAlign w:val="center"/>
          </w:tcPr>
          <w:p w14:paraId="5A21FCE5">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仓储</w:t>
            </w:r>
          </w:p>
        </w:tc>
        <w:tc>
          <w:tcPr>
            <w:tcW w:w="1102" w:type="pct"/>
            <w:vAlign w:val="center"/>
          </w:tcPr>
          <w:p w14:paraId="105BDABD">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车位/100</w:t>
            </w:r>
            <w:r>
              <w:rPr>
                <w:rFonts w:hint="eastAsia" w:asciiTheme="minorEastAsia" w:hAnsiTheme="minorEastAsia" w:eastAsiaTheme="minorEastAsia"/>
                <w:kern w:val="0"/>
                <w:sz w:val="21"/>
                <w:szCs w:val="21"/>
              </w:rPr>
              <w:t xml:space="preserve"> m</w:t>
            </w:r>
            <w:r>
              <w:rPr>
                <w:rFonts w:asciiTheme="minorEastAsia" w:hAnsiTheme="minorEastAsia" w:eastAsiaTheme="minorEastAsia"/>
                <w:kern w:val="0"/>
                <w:sz w:val="21"/>
                <w:szCs w:val="21"/>
                <w:vertAlign w:val="superscript"/>
              </w:rPr>
              <w:t>2</w:t>
            </w:r>
            <w:r>
              <w:rPr>
                <w:rFonts w:asciiTheme="minorEastAsia" w:hAnsiTheme="minorEastAsia" w:eastAsiaTheme="minorEastAsia"/>
                <w:kern w:val="0"/>
                <w:sz w:val="21"/>
                <w:szCs w:val="21"/>
              </w:rPr>
              <w:t>建筑面积</w:t>
            </w:r>
          </w:p>
        </w:tc>
        <w:tc>
          <w:tcPr>
            <w:tcW w:w="517" w:type="pct"/>
            <w:vAlign w:val="center"/>
          </w:tcPr>
          <w:p w14:paraId="6B2539FC">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w:t>
            </w:r>
          </w:p>
        </w:tc>
        <w:tc>
          <w:tcPr>
            <w:tcW w:w="474" w:type="pct"/>
            <w:vAlign w:val="center"/>
          </w:tcPr>
          <w:p w14:paraId="32E25F75">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1.0</w:t>
            </w:r>
          </w:p>
        </w:tc>
        <w:tc>
          <w:tcPr>
            <w:tcW w:w="537" w:type="pct"/>
            <w:vAlign w:val="center"/>
          </w:tcPr>
          <w:p w14:paraId="3C9AC5A4">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1.0</w:t>
            </w:r>
          </w:p>
        </w:tc>
      </w:tr>
      <w:tr w14:paraId="0CD2C9D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544" w:type="pct"/>
            <w:vMerge w:val="restart"/>
            <w:vAlign w:val="center"/>
          </w:tcPr>
          <w:p w14:paraId="4368D5B5">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交通枢纽</w:t>
            </w:r>
          </w:p>
        </w:tc>
        <w:tc>
          <w:tcPr>
            <w:tcW w:w="1826" w:type="pct"/>
            <w:gridSpan w:val="2"/>
            <w:vAlign w:val="center"/>
          </w:tcPr>
          <w:p w14:paraId="5814EFF6">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汽车站</w:t>
            </w:r>
          </w:p>
        </w:tc>
        <w:tc>
          <w:tcPr>
            <w:tcW w:w="1102" w:type="pct"/>
            <w:vMerge w:val="restart"/>
            <w:vAlign w:val="center"/>
          </w:tcPr>
          <w:p w14:paraId="7B1F8DEE">
            <w:pPr>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车位/</w:t>
            </w:r>
            <w:r>
              <w:rPr>
                <w:rFonts w:hint="eastAsia" w:asciiTheme="minorEastAsia" w:hAnsiTheme="minorEastAsia" w:eastAsiaTheme="minorEastAsia"/>
                <w:kern w:val="0"/>
                <w:sz w:val="21"/>
                <w:szCs w:val="21"/>
              </w:rPr>
              <w:t>设计年度最高聚集人数</w:t>
            </w:r>
          </w:p>
        </w:tc>
        <w:tc>
          <w:tcPr>
            <w:tcW w:w="517" w:type="pct"/>
            <w:vAlign w:val="center"/>
          </w:tcPr>
          <w:p w14:paraId="3A5B6E33">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0.15</w:t>
            </w:r>
          </w:p>
        </w:tc>
        <w:tc>
          <w:tcPr>
            <w:tcW w:w="474" w:type="pct"/>
            <w:vAlign w:val="center"/>
          </w:tcPr>
          <w:p w14:paraId="4F466F50">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0.15</w:t>
            </w:r>
          </w:p>
        </w:tc>
        <w:tc>
          <w:tcPr>
            <w:tcW w:w="537" w:type="pct"/>
            <w:vAlign w:val="center"/>
          </w:tcPr>
          <w:p w14:paraId="4DF29F37">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0.15</w:t>
            </w:r>
          </w:p>
        </w:tc>
      </w:tr>
      <w:tr w14:paraId="2C6B3E4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544" w:type="pct"/>
            <w:vMerge w:val="continue"/>
            <w:shd w:val="clear" w:color="auto" w:fill="FFFFFF"/>
            <w:vAlign w:val="center"/>
          </w:tcPr>
          <w:p w14:paraId="1B0E4522">
            <w:pPr>
              <w:widowControl/>
              <w:jc w:val="center"/>
              <w:rPr>
                <w:rFonts w:asciiTheme="minorEastAsia" w:hAnsiTheme="minorEastAsia" w:eastAsiaTheme="minorEastAsia"/>
                <w:kern w:val="0"/>
                <w:sz w:val="21"/>
                <w:szCs w:val="21"/>
              </w:rPr>
            </w:pPr>
          </w:p>
        </w:tc>
        <w:tc>
          <w:tcPr>
            <w:tcW w:w="1826" w:type="pct"/>
            <w:gridSpan w:val="2"/>
            <w:vAlign w:val="center"/>
          </w:tcPr>
          <w:p w14:paraId="6816BC7A">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火车站</w:t>
            </w:r>
          </w:p>
        </w:tc>
        <w:tc>
          <w:tcPr>
            <w:tcW w:w="1102" w:type="pct"/>
            <w:vMerge w:val="continue"/>
            <w:shd w:val="clear" w:color="auto" w:fill="FFFFFF"/>
            <w:vAlign w:val="center"/>
          </w:tcPr>
          <w:p w14:paraId="660785AB">
            <w:pPr>
              <w:widowControl/>
              <w:jc w:val="center"/>
              <w:rPr>
                <w:rFonts w:asciiTheme="minorEastAsia" w:hAnsiTheme="minorEastAsia" w:eastAsiaTheme="minorEastAsia"/>
                <w:kern w:val="0"/>
                <w:sz w:val="21"/>
                <w:szCs w:val="21"/>
              </w:rPr>
            </w:pPr>
          </w:p>
        </w:tc>
        <w:tc>
          <w:tcPr>
            <w:tcW w:w="517" w:type="pct"/>
            <w:vAlign w:val="center"/>
          </w:tcPr>
          <w:p w14:paraId="126499D6">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0.15</w:t>
            </w:r>
          </w:p>
        </w:tc>
        <w:tc>
          <w:tcPr>
            <w:tcW w:w="474" w:type="pct"/>
            <w:vAlign w:val="center"/>
          </w:tcPr>
          <w:p w14:paraId="49A50996">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0.15</w:t>
            </w:r>
          </w:p>
        </w:tc>
        <w:tc>
          <w:tcPr>
            <w:tcW w:w="537" w:type="pct"/>
            <w:vAlign w:val="center"/>
          </w:tcPr>
          <w:p w14:paraId="68454880">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0.15</w:t>
            </w:r>
          </w:p>
        </w:tc>
      </w:tr>
      <w:tr w14:paraId="6CB979B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544" w:type="pct"/>
            <w:vMerge w:val="restart"/>
            <w:vAlign w:val="center"/>
          </w:tcPr>
          <w:p w14:paraId="36E64BFF">
            <w:pPr>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轨道交通车站</w:t>
            </w:r>
          </w:p>
        </w:tc>
        <w:tc>
          <w:tcPr>
            <w:tcW w:w="1826" w:type="pct"/>
            <w:gridSpan w:val="2"/>
            <w:vAlign w:val="center"/>
          </w:tcPr>
          <w:p w14:paraId="596D0891">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轨道一般站</w:t>
            </w:r>
          </w:p>
        </w:tc>
        <w:tc>
          <w:tcPr>
            <w:tcW w:w="1102" w:type="pct"/>
            <w:vMerge w:val="restart"/>
            <w:vAlign w:val="center"/>
          </w:tcPr>
          <w:p w14:paraId="6A672F47">
            <w:pPr>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车位/100名远期高峰小时旅客</w:t>
            </w:r>
          </w:p>
        </w:tc>
        <w:tc>
          <w:tcPr>
            <w:tcW w:w="517" w:type="pct"/>
            <w:vAlign w:val="center"/>
          </w:tcPr>
          <w:p w14:paraId="25639350">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8.0</w:t>
            </w:r>
          </w:p>
        </w:tc>
        <w:tc>
          <w:tcPr>
            <w:tcW w:w="474" w:type="pct"/>
            <w:vAlign w:val="center"/>
          </w:tcPr>
          <w:p w14:paraId="43F8D7B2">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6.0</w:t>
            </w:r>
          </w:p>
        </w:tc>
        <w:tc>
          <w:tcPr>
            <w:tcW w:w="537" w:type="pct"/>
            <w:vAlign w:val="center"/>
          </w:tcPr>
          <w:p w14:paraId="0D22B3D9">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5.0</w:t>
            </w:r>
          </w:p>
        </w:tc>
      </w:tr>
      <w:tr w14:paraId="24A0379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544" w:type="pct"/>
            <w:vMerge w:val="continue"/>
            <w:shd w:val="clear" w:color="auto" w:fill="FFFFFF"/>
            <w:vAlign w:val="center"/>
          </w:tcPr>
          <w:p w14:paraId="45567F76">
            <w:pPr>
              <w:widowControl/>
              <w:jc w:val="center"/>
              <w:rPr>
                <w:rFonts w:asciiTheme="minorEastAsia" w:hAnsiTheme="minorEastAsia" w:eastAsiaTheme="minorEastAsia"/>
                <w:kern w:val="0"/>
                <w:sz w:val="21"/>
                <w:szCs w:val="21"/>
              </w:rPr>
            </w:pPr>
          </w:p>
        </w:tc>
        <w:tc>
          <w:tcPr>
            <w:tcW w:w="1826" w:type="pct"/>
            <w:gridSpan w:val="2"/>
            <w:vAlign w:val="center"/>
          </w:tcPr>
          <w:p w14:paraId="06F2A3AB">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轨道换乘站</w:t>
            </w:r>
          </w:p>
        </w:tc>
        <w:tc>
          <w:tcPr>
            <w:tcW w:w="1102" w:type="pct"/>
            <w:vMerge w:val="continue"/>
            <w:shd w:val="clear" w:color="auto" w:fill="FFFFFF"/>
            <w:vAlign w:val="center"/>
          </w:tcPr>
          <w:p w14:paraId="78D81551">
            <w:pPr>
              <w:jc w:val="center"/>
              <w:rPr>
                <w:rFonts w:asciiTheme="minorEastAsia" w:hAnsiTheme="minorEastAsia" w:eastAsiaTheme="minorEastAsia"/>
                <w:kern w:val="0"/>
                <w:sz w:val="21"/>
                <w:szCs w:val="21"/>
              </w:rPr>
            </w:pPr>
          </w:p>
        </w:tc>
        <w:tc>
          <w:tcPr>
            <w:tcW w:w="517" w:type="pct"/>
            <w:vAlign w:val="center"/>
          </w:tcPr>
          <w:p w14:paraId="21949B91">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6.0</w:t>
            </w:r>
          </w:p>
        </w:tc>
        <w:tc>
          <w:tcPr>
            <w:tcW w:w="474" w:type="pct"/>
            <w:vAlign w:val="center"/>
          </w:tcPr>
          <w:p w14:paraId="5E6E9AAF">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4.0</w:t>
            </w:r>
          </w:p>
        </w:tc>
        <w:tc>
          <w:tcPr>
            <w:tcW w:w="537" w:type="pct"/>
            <w:vAlign w:val="center"/>
          </w:tcPr>
          <w:p w14:paraId="1E5390A7">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4.0</w:t>
            </w:r>
          </w:p>
        </w:tc>
      </w:tr>
      <w:tr w14:paraId="726C248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544" w:type="pct"/>
            <w:vMerge w:val="continue"/>
            <w:shd w:val="clear" w:color="auto" w:fill="FFFFFF"/>
            <w:vAlign w:val="center"/>
          </w:tcPr>
          <w:p w14:paraId="5CD896A6">
            <w:pPr>
              <w:widowControl/>
              <w:jc w:val="center"/>
              <w:rPr>
                <w:rFonts w:asciiTheme="minorEastAsia" w:hAnsiTheme="minorEastAsia" w:eastAsiaTheme="minorEastAsia"/>
                <w:kern w:val="0"/>
                <w:sz w:val="21"/>
                <w:szCs w:val="21"/>
              </w:rPr>
            </w:pPr>
          </w:p>
        </w:tc>
        <w:tc>
          <w:tcPr>
            <w:tcW w:w="1826" w:type="pct"/>
            <w:gridSpan w:val="2"/>
            <w:vAlign w:val="center"/>
          </w:tcPr>
          <w:p w14:paraId="05C3F23F">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轨道枢纽站</w:t>
            </w:r>
          </w:p>
        </w:tc>
        <w:tc>
          <w:tcPr>
            <w:tcW w:w="1102" w:type="pct"/>
            <w:vMerge w:val="continue"/>
            <w:shd w:val="clear" w:color="auto" w:fill="FFFFFF"/>
            <w:vAlign w:val="center"/>
          </w:tcPr>
          <w:p w14:paraId="2B57302B">
            <w:pPr>
              <w:widowControl/>
              <w:jc w:val="center"/>
              <w:rPr>
                <w:rFonts w:asciiTheme="minorEastAsia" w:hAnsiTheme="minorEastAsia" w:eastAsiaTheme="minorEastAsia"/>
                <w:kern w:val="0"/>
                <w:sz w:val="21"/>
                <w:szCs w:val="21"/>
              </w:rPr>
            </w:pPr>
          </w:p>
        </w:tc>
        <w:tc>
          <w:tcPr>
            <w:tcW w:w="517" w:type="pct"/>
            <w:vAlign w:val="center"/>
          </w:tcPr>
          <w:p w14:paraId="51D4B849">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6.0</w:t>
            </w:r>
          </w:p>
        </w:tc>
        <w:tc>
          <w:tcPr>
            <w:tcW w:w="474" w:type="pct"/>
            <w:vAlign w:val="center"/>
          </w:tcPr>
          <w:p w14:paraId="1E33094F">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4.0</w:t>
            </w:r>
          </w:p>
        </w:tc>
        <w:tc>
          <w:tcPr>
            <w:tcW w:w="537" w:type="pct"/>
            <w:vAlign w:val="center"/>
          </w:tcPr>
          <w:p w14:paraId="75BA08DF">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4.0</w:t>
            </w:r>
          </w:p>
        </w:tc>
      </w:tr>
    </w:tbl>
    <w:p w14:paraId="134F5E25">
      <w:pPr>
        <w:spacing w:line="360" w:lineRule="auto"/>
      </w:pPr>
    </w:p>
    <w:p w14:paraId="11C078DF">
      <w:pPr>
        <w:spacing w:line="360" w:lineRule="auto"/>
        <w:ind w:firstLine="600" w:firstLineChars="200"/>
      </w:pPr>
    </w:p>
    <w:p w14:paraId="59B28FA5">
      <w:pPr>
        <w:spacing w:line="600" w:lineRule="exact"/>
        <w:rPr>
          <w:rFonts w:eastAsia="方正书宋_GBK"/>
          <w:sz w:val="21"/>
          <w:szCs w:val="21"/>
        </w:rPr>
      </w:pPr>
    </w:p>
    <w:p w14:paraId="4ED3DADB">
      <w:pPr>
        <w:spacing w:line="600" w:lineRule="exact"/>
        <w:rPr>
          <w:rFonts w:eastAsia="方正书宋_GBK"/>
          <w:sz w:val="21"/>
          <w:szCs w:val="21"/>
        </w:rPr>
      </w:pPr>
    </w:p>
    <w:p w14:paraId="18E62E5A">
      <w:pPr>
        <w:spacing w:line="600" w:lineRule="exact"/>
        <w:rPr>
          <w:rFonts w:eastAsia="方正书宋_GBK"/>
          <w:sz w:val="21"/>
          <w:szCs w:val="21"/>
        </w:rPr>
      </w:pPr>
    </w:p>
    <w:p w14:paraId="741D778A">
      <w:pPr>
        <w:spacing w:line="600" w:lineRule="exact"/>
        <w:rPr>
          <w:rFonts w:eastAsia="方正书宋_GBK"/>
          <w:sz w:val="21"/>
          <w:szCs w:val="21"/>
        </w:rPr>
      </w:pPr>
    </w:p>
    <w:p w14:paraId="204FC328">
      <w:pPr>
        <w:spacing w:line="600" w:lineRule="exact"/>
        <w:rPr>
          <w:rFonts w:eastAsia="方正书宋_GBK"/>
          <w:sz w:val="21"/>
          <w:szCs w:val="21"/>
        </w:rPr>
      </w:pPr>
    </w:p>
    <w:p w14:paraId="220C99FB">
      <w:pPr>
        <w:spacing w:line="600" w:lineRule="exact"/>
        <w:rPr>
          <w:rFonts w:eastAsia="方正书宋_GBK"/>
          <w:sz w:val="21"/>
          <w:szCs w:val="21"/>
        </w:rPr>
      </w:pPr>
    </w:p>
    <w:p w14:paraId="6F952012">
      <w:pPr>
        <w:spacing w:line="360" w:lineRule="auto"/>
        <w:rPr>
          <w:rFonts w:ascii="方正黑体_GBK" w:eastAsia="方正黑体_GBK"/>
          <w:sz w:val="32"/>
          <w:szCs w:val="32"/>
        </w:rPr>
      </w:pPr>
      <w:r>
        <w:rPr>
          <w:rFonts w:hint="eastAsia" w:ascii="方正黑体_GBK" w:eastAsia="方正黑体_GBK"/>
          <w:sz w:val="32"/>
          <w:szCs w:val="32"/>
        </w:rPr>
        <w:t>附表3</w:t>
      </w:r>
    </w:p>
    <w:p w14:paraId="1BA32EEE">
      <w:pPr>
        <w:spacing w:line="360" w:lineRule="auto"/>
        <w:jc w:val="center"/>
        <w:rPr>
          <w:b/>
          <w:sz w:val="24"/>
        </w:rPr>
      </w:pPr>
      <w:r>
        <w:rPr>
          <w:rFonts w:hint="eastAsia"/>
          <w:b/>
          <w:sz w:val="24"/>
        </w:rPr>
        <w:t>机动车特殊停车位配建指标</w:t>
      </w:r>
    </w:p>
    <w:tbl>
      <w:tblPr>
        <w:tblStyle w:val="6"/>
        <w:tblW w:w="5365"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2114"/>
        <w:gridCol w:w="1807"/>
        <w:gridCol w:w="1798"/>
        <w:gridCol w:w="1256"/>
        <w:gridCol w:w="938"/>
      </w:tblGrid>
      <w:tr w14:paraId="0585869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73" w:type="pct"/>
            <w:vAlign w:val="center"/>
          </w:tcPr>
          <w:p w14:paraId="0EA92E6C">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建筑类型</w:t>
            </w:r>
          </w:p>
        </w:tc>
        <w:tc>
          <w:tcPr>
            <w:tcW w:w="1156" w:type="pct"/>
            <w:vAlign w:val="center"/>
          </w:tcPr>
          <w:p w14:paraId="6F9C3A0D">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计算单位</w:t>
            </w:r>
          </w:p>
        </w:tc>
        <w:tc>
          <w:tcPr>
            <w:tcW w:w="988" w:type="pct"/>
            <w:vAlign w:val="center"/>
          </w:tcPr>
          <w:p w14:paraId="368E5C0E">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装卸车位</w:t>
            </w:r>
          </w:p>
        </w:tc>
        <w:tc>
          <w:tcPr>
            <w:tcW w:w="983" w:type="pct"/>
            <w:vAlign w:val="center"/>
          </w:tcPr>
          <w:p w14:paraId="10A1117E">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出租车位</w:t>
            </w:r>
          </w:p>
        </w:tc>
        <w:tc>
          <w:tcPr>
            <w:tcW w:w="687" w:type="pct"/>
            <w:vAlign w:val="center"/>
          </w:tcPr>
          <w:p w14:paraId="4B7DA418">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大巴车位</w:t>
            </w:r>
          </w:p>
        </w:tc>
        <w:tc>
          <w:tcPr>
            <w:tcW w:w="513" w:type="pct"/>
            <w:vAlign w:val="center"/>
          </w:tcPr>
          <w:p w14:paraId="17004A43">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无障碍车位</w:t>
            </w:r>
          </w:p>
        </w:tc>
      </w:tr>
      <w:tr w14:paraId="1DC332F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673" w:type="pct"/>
            <w:vAlign w:val="center"/>
          </w:tcPr>
          <w:p w14:paraId="5B1CE2A8">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住宅</w:t>
            </w:r>
            <w:r>
              <w:rPr>
                <w:rFonts w:hint="eastAsia" w:asciiTheme="minorEastAsia" w:hAnsiTheme="minorEastAsia" w:eastAsiaTheme="minorEastAsia"/>
                <w:kern w:val="0"/>
                <w:sz w:val="21"/>
                <w:szCs w:val="21"/>
              </w:rPr>
              <w:t>、酒店式公寓、集体宿舍</w:t>
            </w:r>
          </w:p>
        </w:tc>
        <w:tc>
          <w:tcPr>
            <w:tcW w:w="1156" w:type="pct"/>
            <w:vAlign w:val="center"/>
          </w:tcPr>
          <w:p w14:paraId="7C7AD43D">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车位/10000</w:t>
            </w:r>
            <w:r>
              <w:rPr>
                <w:rFonts w:hint="eastAsia" w:asciiTheme="minorEastAsia" w:hAnsiTheme="minorEastAsia" w:eastAsiaTheme="minorEastAsia"/>
                <w:kern w:val="0"/>
                <w:sz w:val="21"/>
                <w:szCs w:val="21"/>
              </w:rPr>
              <w:t xml:space="preserve"> m</w:t>
            </w:r>
            <w:r>
              <w:rPr>
                <w:rFonts w:asciiTheme="minorEastAsia" w:hAnsiTheme="minorEastAsia" w:eastAsiaTheme="minorEastAsia"/>
                <w:kern w:val="0"/>
                <w:sz w:val="21"/>
                <w:szCs w:val="21"/>
                <w:vertAlign w:val="superscript"/>
              </w:rPr>
              <w:t>2</w:t>
            </w:r>
            <w:r>
              <w:rPr>
                <w:rFonts w:asciiTheme="minorEastAsia" w:hAnsiTheme="minorEastAsia" w:eastAsiaTheme="minorEastAsia"/>
                <w:kern w:val="0"/>
                <w:sz w:val="21"/>
                <w:szCs w:val="21"/>
              </w:rPr>
              <w:t>建筑面积</w:t>
            </w:r>
          </w:p>
        </w:tc>
        <w:tc>
          <w:tcPr>
            <w:tcW w:w="988" w:type="pct"/>
            <w:vAlign w:val="center"/>
          </w:tcPr>
          <w:p w14:paraId="6D4ED4D5">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w:t>
            </w:r>
          </w:p>
        </w:tc>
        <w:tc>
          <w:tcPr>
            <w:tcW w:w="983" w:type="pct"/>
            <w:vAlign w:val="center"/>
          </w:tcPr>
          <w:p w14:paraId="11B07D39">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0.5</w:t>
            </w:r>
          </w:p>
        </w:tc>
        <w:tc>
          <w:tcPr>
            <w:tcW w:w="687" w:type="pct"/>
            <w:vAlign w:val="center"/>
          </w:tcPr>
          <w:p w14:paraId="0A1E5EB4">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w:t>
            </w:r>
          </w:p>
        </w:tc>
        <w:tc>
          <w:tcPr>
            <w:tcW w:w="513" w:type="pct"/>
            <w:vMerge w:val="restart"/>
            <w:vAlign w:val="center"/>
          </w:tcPr>
          <w:p w14:paraId="5DE0B967">
            <w:pPr>
              <w:widowControl/>
              <w:jc w:val="center"/>
              <w:rPr>
                <w:rFonts w:asciiTheme="minorEastAsia" w:hAnsiTheme="minorEastAsia" w:eastAsiaTheme="minorEastAsia"/>
                <w:color w:val="000000"/>
                <w:kern w:val="0"/>
                <w:sz w:val="21"/>
                <w:szCs w:val="21"/>
              </w:rPr>
            </w:pPr>
            <w:r>
              <w:rPr>
                <w:rFonts w:hint="eastAsia" w:asciiTheme="minorEastAsia" w:hAnsiTheme="minorEastAsia" w:eastAsiaTheme="minorEastAsia"/>
                <w:color w:val="000000"/>
                <w:kern w:val="0"/>
                <w:sz w:val="21"/>
                <w:szCs w:val="21"/>
              </w:rPr>
              <w:t>住宅类建筑应设置不少于总车位数的0</w:t>
            </w:r>
            <w:r>
              <w:rPr>
                <w:rFonts w:asciiTheme="minorEastAsia" w:hAnsiTheme="minorEastAsia" w:eastAsiaTheme="minorEastAsia"/>
                <w:color w:val="000000"/>
                <w:kern w:val="0"/>
                <w:sz w:val="21"/>
                <w:szCs w:val="21"/>
              </w:rPr>
              <w:t>.5%</w:t>
            </w:r>
            <w:r>
              <w:rPr>
                <w:rFonts w:hint="eastAsia" w:asciiTheme="minorEastAsia" w:hAnsiTheme="minorEastAsia" w:eastAsiaTheme="minorEastAsia"/>
                <w:color w:val="000000"/>
                <w:kern w:val="0"/>
                <w:sz w:val="21"/>
                <w:szCs w:val="21"/>
              </w:rPr>
              <w:t>；</w:t>
            </w:r>
          </w:p>
          <w:p w14:paraId="499FC547">
            <w:pPr>
              <w:widowControl/>
              <w:jc w:val="center"/>
              <w:rPr>
                <w:rFonts w:asciiTheme="minorEastAsia" w:hAnsiTheme="minorEastAsia" w:eastAsiaTheme="minorEastAsia"/>
                <w:kern w:val="0"/>
                <w:sz w:val="21"/>
                <w:szCs w:val="21"/>
              </w:rPr>
            </w:pPr>
            <w:r>
              <w:rPr>
                <w:rFonts w:hint="eastAsia" w:asciiTheme="minorEastAsia" w:hAnsiTheme="minorEastAsia" w:eastAsiaTheme="minorEastAsia"/>
                <w:color w:val="000000"/>
                <w:kern w:val="0"/>
                <w:sz w:val="21"/>
                <w:szCs w:val="21"/>
              </w:rPr>
              <w:t>其它类建筑不少于总车位数的1</w:t>
            </w:r>
            <w:r>
              <w:rPr>
                <w:rFonts w:asciiTheme="minorEastAsia" w:hAnsiTheme="minorEastAsia" w:eastAsiaTheme="minorEastAsia"/>
                <w:color w:val="000000"/>
                <w:kern w:val="0"/>
                <w:sz w:val="21"/>
                <w:szCs w:val="21"/>
              </w:rPr>
              <w:t>%</w:t>
            </w:r>
            <w:r>
              <w:rPr>
                <w:rFonts w:hint="eastAsia" w:asciiTheme="minorEastAsia" w:hAnsiTheme="minorEastAsia" w:eastAsiaTheme="minorEastAsia"/>
                <w:color w:val="000000"/>
                <w:kern w:val="0"/>
                <w:sz w:val="21"/>
                <w:szCs w:val="21"/>
              </w:rPr>
              <w:t>，且不应少于一个</w:t>
            </w:r>
          </w:p>
        </w:tc>
      </w:tr>
      <w:tr w14:paraId="7A06631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673" w:type="pct"/>
            <w:vAlign w:val="center"/>
          </w:tcPr>
          <w:p w14:paraId="136671E2">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宾馆</w:t>
            </w:r>
          </w:p>
        </w:tc>
        <w:tc>
          <w:tcPr>
            <w:tcW w:w="1156" w:type="pct"/>
            <w:vAlign w:val="center"/>
          </w:tcPr>
          <w:p w14:paraId="6C39095A">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车位/100客房</w:t>
            </w:r>
          </w:p>
        </w:tc>
        <w:tc>
          <w:tcPr>
            <w:tcW w:w="988" w:type="pct"/>
            <w:vAlign w:val="center"/>
          </w:tcPr>
          <w:p w14:paraId="185CB032">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每100客房设置1个，超过3个时，每增加200客房，增设1个</w:t>
            </w:r>
          </w:p>
        </w:tc>
        <w:tc>
          <w:tcPr>
            <w:tcW w:w="983" w:type="pct"/>
            <w:vAlign w:val="center"/>
          </w:tcPr>
          <w:p w14:paraId="58FA8E06">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每100客房设置1.5个，超过3个时，每增加100客房，增设1个</w:t>
            </w:r>
          </w:p>
        </w:tc>
        <w:tc>
          <w:tcPr>
            <w:tcW w:w="687" w:type="pct"/>
            <w:vAlign w:val="center"/>
          </w:tcPr>
          <w:p w14:paraId="0682EDFE">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0.5</w:t>
            </w:r>
          </w:p>
        </w:tc>
        <w:tc>
          <w:tcPr>
            <w:tcW w:w="513" w:type="pct"/>
            <w:vMerge w:val="continue"/>
            <w:shd w:val="clear" w:color="auto" w:fill="FFFFFF"/>
            <w:vAlign w:val="center"/>
          </w:tcPr>
          <w:p w14:paraId="0E2CCEB7">
            <w:pPr>
              <w:widowControl/>
              <w:jc w:val="center"/>
              <w:rPr>
                <w:rFonts w:asciiTheme="minorEastAsia" w:hAnsiTheme="minorEastAsia" w:eastAsiaTheme="minorEastAsia"/>
                <w:kern w:val="0"/>
                <w:sz w:val="21"/>
                <w:szCs w:val="21"/>
              </w:rPr>
            </w:pPr>
          </w:p>
        </w:tc>
      </w:tr>
      <w:tr w14:paraId="2B455F9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56" w:hRule="atLeast"/>
          <w:jc w:val="center"/>
        </w:trPr>
        <w:tc>
          <w:tcPr>
            <w:tcW w:w="673" w:type="pct"/>
            <w:vAlign w:val="center"/>
          </w:tcPr>
          <w:p w14:paraId="76CDE03C">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办公</w:t>
            </w:r>
          </w:p>
        </w:tc>
        <w:tc>
          <w:tcPr>
            <w:tcW w:w="1156" w:type="pct"/>
            <w:vAlign w:val="center"/>
          </w:tcPr>
          <w:p w14:paraId="26A30E73">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车位/10000</w:t>
            </w:r>
            <w:r>
              <w:rPr>
                <w:rFonts w:hint="eastAsia" w:asciiTheme="minorEastAsia" w:hAnsiTheme="minorEastAsia" w:eastAsiaTheme="minorEastAsia"/>
                <w:kern w:val="0"/>
                <w:sz w:val="21"/>
                <w:szCs w:val="21"/>
              </w:rPr>
              <w:t xml:space="preserve"> m</w:t>
            </w:r>
            <w:r>
              <w:rPr>
                <w:rFonts w:asciiTheme="minorEastAsia" w:hAnsiTheme="minorEastAsia" w:eastAsiaTheme="minorEastAsia"/>
                <w:kern w:val="0"/>
                <w:sz w:val="21"/>
                <w:szCs w:val="21"/>
                <w:vertAlign w:val="superscript"/>
              </w:rPr>
              <w:t>2</w:t>
            </w:r>
            <w:r>
              <w:rPr>
                <w:rFonts w:asciiTheme="minorEastAsia" w:hAnsiTheme="minorEastAsia" w:eastAsiaTheme="minorEastAsia"/>
                <w:kern w:val="0"/>
                <w:sz w:val="21"/>
                <w:szCs w:val="21"/>
              </w:rPr>
              <w:t>建筑面积</w:t>
            </w:r>
          </w:p>
        </w:tc>
        <w:tc>
          <w:tcPr>
            <w:tcW w:w="988" w:type="pct"/>
            <w:vAlign w:val="center"/>
          </w:tcPr>
          <w:p w14:paraId="4768E82D">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w:t>
            </w:r>
          </w:p>
        </w:tc>
        <w:tc>
          <w:tcPr>
            <w:tcW w:w="983" w:type="pct"/>
            <w:vAlign w:val="center"/>
          </w:tcPr>
          <w:p w14:paraId="137257A9">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1.5</w:t>
            </w:r>
          </w:p>
        </w:tc>
        <w:tc>
          <w:tcPr>
            <w:tcW w:w="687" w:type="pct"/>
            <w:vAlign w:val="center"/>
          </w:tcPr>
          <w:p w14:paraId="04C555CD">
            <w:pPr>
              <w:jc w:val="center"/>
              <w:rPr>
                <w:rFonts w:asciiTheme="minorEastAsia" w:hAnsiTheme="minorEastAsia" w:eastAsiaTheme="minorEastAsia"/>
                <w:kern w:val="0"/>
                <w:sz w:val="21"/>
                <w:szCs w:val="21"/>
              </w:rPr>
            </w:pPr>
          </w:p>
        </w:tc>
        <w:tc>
          <w:tcPr>
            <w:tcW w:w="513" w:type="pct"/>
            <w:vMerge w:val="continue"/>
            <w:shd w:val="clear" w:color="auto" w:fill="FFFFFF"/>
            <w:vAlign w:val="center"/>
          </w:tcPr>
          <w:p w14:paraId="743C1C25">
            <w:pPr>
              <w:widowControl/>
              <w:jc w:val="center"/>
              <w:rPr>
                <w:rFonts w:asciiTheme="minorEastAsia" w:hAnsiTheme="minorEastAsia" w:eastAsiaTheme="minorEastAsia"/>
                <w:kern w:val="0"/>
                <w:sz w:val="21"/>
                <w:szCs w:val="21"/>
              </w:rPr>
            </w:pPr>
          </w:p>
        </w:tc>
      </w:tr>
      <w:tr w14:paraId="405D966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673" w:type="pct"/>
            <w:vAlign w:val="center"/>
          </w:tcPr>
          <w:p w14:paraId="5D90981D">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商业</w:t>
            </w:r>
          </w:p>
        </w:tc>
        <w:tc>
          <w:tcPr>
            <w:tcW w:w="1156" w:type="pct"/>
            <w:vAlign w:val="center"/>
          </w:tcPr>
          <w:p w14:paraId="77B7B19C">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车位/10000</w:t>
            </w:r>
            <w:r>
              <w:rPr>
                <w:rFonts w:hint="eastAsia" w:asciiTheme="minorEastAsia" w:hAnsiTheme="minorEastAsia" w:eastAsiaTheme="minorEastAsia"/>
                <w:kern w:val="0"/>
                <w:sz w:val="21"/>
                <w:szCs w:val="21"/>
              </w:rPr>
              <w:t xml:space="preserve"> m</w:t>
            </w:r>
            <w:r>
              <w:rPr>
                <w:rFonts w:asciiTheme="minorEastAsia" w:hAnsiTheme="minorEastAsia" w:eastAsiaTheme="minorEastAsia"/>
                <w:kern w:val="0"/>
                <w:sz w:val="21"/>
                <w:szCs w:val="21"/>
                <w:vertAlign w:val="superscript"/>
              </w:rPr>
              <w:t>2</w:t>
            </w:r>
            <w:r>
              <w:rPr>
                <w:rFonts w:asciiTheme="minorEastAsia" w:hAnsiTheme="minorEastAsia" w:eastAsiaTheme="minorEastAsia"/>
                <w:kern w:val="0"/>
                <w:sz w:val="21"/>
                <w:szCs w:val="21"/>
              </w:rPr>
              <w:t>建筑面积</w:t>
            </w:r>
          </w:p>
        </w:tc>
        <w:tc>
          <w:tcPr>
            <w:tcW w:w="988" w:type="pct"/>
            <w:vAlign w:val="center"/>
          </w:tcPr>
          <w:p w14:paraId="1E08C468">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每5000</w:t>
            </w:r>
            <w:r>
              <w:rPr>
                <w:rFonts w:hint="eastAsia" w:asciiTheme="minorEastAsia" w:hAnsiTheme="minorEastAsia" w:eastAsiaTheme="minorEastAsia"/>
                <w:kern w:val="0"/>
                <w:sz w:val="21"/>
                <w:szCs w:val="21"/>
              </w:rPr>
              <w:t xml:space="preserve"> m</w:t>
            </w:r>
            <w:r>
              <w:rPr>
                <w:rFonts w:asciiTheme="minorEastAsia" w:hAnsiTheme="minorEastAsia" w:eastAsiaTheme="minorEastAsia"/>
                <w:kern w:val="0"/>
                <w:sz w:val="21"/>
                <w:szCs w:val="21"/>
                <w:vertAlign w:val="superscript"/>
              </w:rPr>
              <w:t>2</w:t>
            </w:r>
            <w:r>
              <w:rPr>
                <w:rFonts w:asciiTheme="minorEastAsia" w:hAnsiTheme="minorEastAsia" w:eastAsiaTheme="minorEastAsia"/>
                <w:kern w:val="0"/>
                <w:sz w:val="21"/>
                <w:szCs w:val="21"/>
              </w:rPr>
              <w:t>建筑面积设置1个；超过3个时，每增加10000</w:t>
            </w:r>
            <w:r>
              <w:rPr>
                <w:rFonts w:hint="eastAsia" w:asciiTheme="minorEastAsia" w:hAnsiTheme="minorEastAsia" w:eastAsiaTheme="minorEastAsia"/>
                <w:kern w:val="0"/>
                <w:sz w:val="21"/>
                <w:szCs w:val="21"/>
              </w:rPr>
              <w:t xml:space="preserve"> m</w:t>
            </w:r>
            <w:r>
              <w:rPr>
                <w:rFonts w:asciiTheme="minorEastAsia" w:hAnsiTheme="minorEastAsia" w:eastAsiaTheme="minorEastAsia"/>
                <w:kern w:val="0"/>
                <w:sz w:val="21"/>
                <w:szCs w:val="21"/>
                <w:vertAlign w:val="superscript"/>
              </w:rPr>
              <w:t>2</w:t>
            </w:r>
            <w:r>
              <w:rPr>
                <w:rFonts w:asciiTheme="minorEastAsia" w:hAnsiTheme="minorEastAsia" w:eastAsiaTheme="minorEastAsia"/>
                <w:kern w:val="0"/>
                <w:sz w:val="21"/>
                <w:szCs w:val="21"/>
              </w:rPr>
              <w:t>增设1个；超过6个时，每增加15000</w:t>
            </w:r>
            <w:r>
              <w:rPr>
                <w:rFonts w:hint="eastAsia" w:asciiTheme="minorEastAsia" w:hAnsiTheme="minorEastAsia" w:eastAsiaTheme="minorEastAsia"/>
                <w:kern w:val="0"/>
                <w:sz w:val="21"/>
                <w:szCs w:val="21"/>
              </w:rPr>
              <w:t xml:space="preserve"> m</w:t>
            </w:r>
            <w:r>
              <w:rPr>
                <w:rFonts w:asciiTheme="minorEastAsia" w:hAnsiTheme="minorEastAsia" w:eastAsiaTheme="minorEastAsia"/>
                <w:kern w:val="0"/>
                <w:sz w:val="21"/>
                <w:szCs w:val="21"/>
                <w:vertAlign w:val="superscript"/>
              </w:rPr>
              <w:t>2</w:t>
            </w:r>
            <w:r>
              <w:rPr>
                <w:rFonts w:asciiTheme="minorEastAsia" w:hAnsiTheme="minorEastAsia" w:eastAsiaTheme="minorEastAsia"/>
                <w:kern w:val="0"/>
                <w:sz w:val="21"/>
                <w:szCs w:val="21"/>
              </w:rPr>
              <w:t>增设1个</w:t>
            </w:r>
          </w:p>
        </w:tc>
        <w:tc>
          <w:tcPr>
            <w:tcW w:w="983" w:type="pct"/>
            <w:vAlign w:val="center"/>
          </w:tcPr>
          <w:p w14:paraId="7818096E">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每10000</w:t>
            </w:r>
            <w:bookmarkStart w:id="28" w:name="_Hlk523427026"/>
            <w:r>
              <w:rPr>
                <w:rFonts w:hint="eastAsia" w:asciiTheme="minorEastAsia" w:hAnsiTheme="minorEastAsia" w:eastAsiaTheme="minorEastAsia"/>
                <w:kern w:val="0"/>
                <w:sz w:val="21"/>
                <w:szCs w:val="21"/>
              </w:rPr>
              <w:t>m</w:t>
            </w:r>
            <w:r>
              <w:rPr>
                <w:rFonts w:asciiTheme="minorEastAsia" w:hAnsiTheme="minorEastAsia" w:eastAsiaTheme="minorEastAsia"/>
                <w:kern w:val="0"/>
                <w:sz w:val="21"/>
                <w:szCs w:val="21"/>
                <w:vertAlign w:val="superscript"/>
              </w:rPr>
              <w:t>2</w:t>
            </w:r>
            <w:bookmarkEnd w:id="28"/>
            <w:r>
              <w:rPr>
                <w:rFonts w:asciiTheme="minorEastAsia" w:hAnsiTheme="minorEastAsia" w:eastAsiaTheme="minorEastAsia"/>
                <w:kern w:val="0"/>
                <w:sz w:val="21"/>
                <w:szCs w:val="21"/>
              </w:rPr>
              <w:t>建筑面积设置3个；超过9个时，每增加15000</w:t>
            </w:r>
            <w:r>
              <w:rPr>
                <w:rFonts w:hint="eastAsia" w:asciiTheme="minorEastAsia" w:hAnsiTheme="minorEastAsia" w:eastAsiaTheme="minorEastAsia"/>
                <w:kern w:val="0"/>
                <w:sz w:val="21"/>
                <w:szCs w:val="21"/>
              </w:rPr>
              <w:t xml:space="preserve"> m</w:t>
            </w:r>
            <w:r>
              <w:rPr>
                <w:rFonts w:asciiTheme="minorEastAsia" w:hAnsiTheme="minorEastAsia" w:eastAsiaTheme="minorEastAsia"/>
                <w:kern w:val="0"/>
                <w:sz w:val="21"/>
                <w:szCs w:val="21"/>
                <w:vertAlign w:val="superscript"/>
              </w:rPr>
              <w:t>2</w:t>
            </w:r>
            <w:r>
              <w:rPr>
                <w:rFonts w:asciiTheme="minorEastAsia" w:hAnsiTheme="minorEastAsia" w:eastAsiaTheme="minorEastAsia"/>
                <w:kern w:val="0"/>
                <w:sz w:val="21"/>
                <w:szCs w:val="21"/>
              </w:rPr>
              <w:t>增设1个</w:t>
            </w:r>
          </w:p>
        </w:tc>
        <w:tc>
          <w:tcPr>
            <w:tcW w:w="687" w:type="pct"/>
            <w:vAlign w:val="center"/>
          </w:tcPr>
          <w:p w14:paraId="35E14D5E">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1.5</w:t>
            </w:r>
          </w:p>
        </w:tc>
        <w:tc>
          <w:tcPr>
            <w:tcW w:w="513" w:type="pct"/>
            <w:vMerge w:val="continue"/>
            <w:shd w:val="clear" w:color="auto" w:fill="FFFFFF"/>
            <w:vAlign w:val="center"/>
          </w:tcPr>
          <w:p w14:paraId="086BE4A1">
            <w:pPr>
              <w:widowControl/>
              <w:jc w:val="center"/>
              <w:rPr>
                <w:rFonts w:asciiTheme="minorEastAsia" w:hAnsiTheme="minorEastAsia" w:eastAsiaTheme="minorEastAsia"/>
                <w:kern w:val="0"/>
                <w:sz w:val="21"/>
                <w:szCs w:val="21"/>
              </w:rPr>
            </w:pPr>
          </w:p>
        </w:tc>
      </w:tr>
      <w:tr w14:paraId="49D9427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673" w:type="pct"/>
            <w:vAlign w:val="center"/>
          </w:tcPr>
          <w:p w14:paraId="6A359C40">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餐饮娱乐</w:t>
            </w:r>
          </w:p>
        </w:tc>
        <w:tc>
          <w:tcPr>
            <w:tcW w:w="1156" w:type="pct"/>
            <w:vAlign w:val="center"/>
          </w:tcPr>
          <w:p w14:paraId="577C36F7">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车位/1000</w:t>
            </w:r>
            <w:r>
              <w:rPr>
                <w:rFonts w:hint="eastAsia" w:asciiTheme="minorEastAsia" w:hAnsiTheme="minorEastAsia" w:eastAsiaTheme="minorEastAsia"/>
                <w:kern w:val="0"/>
                <w:sz w:val="21"/>
                <w:szCs w:val="21"/>
              </w:rPr>
              <w:t xml:space="preserve"> m</w:t>
            </w:r>
            <w:r>
              <w:rPr>
                <w:rFonts w:asciiTheme="minorEastAsia" w:hAnsiTheme="minorEastAsia" w:eastAsiaTheme="minorEastAsia"/>
                <w:kern w:val="0"/>
                <w:sz w:val="21"/>
                <w:szCs w:val="21"/>
                <w:vertAlign w:val="superscript"/>
              </w:rPr>
              <w:t>2</w:t>
            </w:r>
            <w:r>
              <w:rPr>
                <w:rFonts w:asciiTheme="minorEastAsia" w:hAnsiTheme="minorEastAsia" w:eastAsiaTheme="minorEastAsia"/>
                <w:kern w:val="0"/>
                <w:sz w:val="21"/>
                <w:szCs w:val="21"/>
              </w:rPr>
              <w:t>建筑面积</w:t>
            </w:r>
          </w:p>
        </w:tc>
        <w:tc>
          <w:tcPr>
            <w:tcW w:w="988" w:type="pct"/>
            <w:vAlign w:val="center"/>
          </w:tcPr>
          <w:p w14:paraId="63969551">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1.0（娱乐免设）</w:t>
            </w:r>
          </w:p>
        </w:tc>
        <w:tc>
          <w:tcPr>
            <w:tcW w:w="983" w:type="pct"/>
            <w:vAlign w:val="center"/>
          </w:tcPr>
          <w:p w14:paraId="08951939">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每1000</w:t>
            </w:r>
            <w:r>
              <w:rPr>
                <w:rFonts w:hint="eastAsia" w:asciiTheme="minorEastAsia" w:hAnsiTheme="minorEastAsia" w:eastAsiaTheme="minorEastAsia"/>
                <w:kern w:val="0"/>
                <w:sz w:val="21"/>
                <w:szCs w:val="21"/>
              </w:rPr>
              <w:t xml:space="preserve"> m</w:t>
            </w:r>
            <w:r>
              <w:rPr>
                <w:rFonts w:asciiTheme="minorEastAsia" w:hAnsiTheme="minorEastAsia" w:eastAsiaTheme="minorEastAsia"/>
                <w:kern w:val="0"/>
                <w:sz w:val="21"/>
                <w:szCs w:val="21"/>
                <w:vertAlign w:val="superscript"/>
              </w:rPr>
              <w:t>2</w:t>
            </w:r>
            <w:r>
              <w:rPr>
                <w:rFonts w:asciiTheme="minorEastAsia" w:hAnsiTheme="minorEastAsia" w:eastAsiaTheme="minorEastAsia"/>
                <w:kern w:val="0"/>
                <w:sz w:val="21"/>
                <w:szCs w:val="21"/>
              </w:rPr>
              <w:t>建筑面积设置2个；超过6个时，每增加3000</w:t>
            </w:r>
            <w:r>
              <w:rPr>
                <w:rFonts w:hint="eastAsia" w:asciiTheme="minorEastAsia" w:hAnsiTheme="minorEastAsia" w:eastAsiaTheme="minorEastAsia"/>
                <w:kern w:val="0"/>
                <w:sz w:val="21"/>
                <w:szCs w:val="21"/>
              </w:rPr>
              <w:t xml:space="preserve"> m</w:t>
            </w:r>
            <w:r>
              <w:rPr>
                <w:rFonts w:asciiTheme="minorEastAsia" w:hAnsiTheme="minorEastAsia" w:eastAsiaTheme="minorEastAsia"/>
                <w:kern w:val="0"/>
                <w:sz w:val="21"/>
                <w:szCs w:val="21"/>
                <w:vertAlign w:val="superscript"/>
              </w:rPr>
              <w:t>2</w:t>
            </w:r>
            <w:r>
              <w:rPr>
                <w:rFonts w:asciiTheme="minorEastAsia" w:hAnsiTheme="minorEastAsia" w:eastAsiaTheme="minorEastAsia"/>
                <w:kern w:val="0"/>
                <w:sz w:val="21"/>
                <w:szCs w:val="21"/>
              </w:rPr>
              <w:t>增设1个</w:t>
            </w:r>
          </w:p>
        </w:tc>
        <w:tc>
          <w:tcPr>
            <w:tcW w:w="687" w:type="pct"/>
            <w:vAlign w:val="center"/>
          </w:tcPr>
          <w:p w14:paraId="678EAB83">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w:t>
            </w:r>
          </w:p>
        </w:tc>
        <w:tc>
          <w:tcPr>
            <w:tcW w:w="513" w:type="pct"/>
            <w:vMerge w:val="continue"/>
            <w:shd w:val="clear" w:color="auto" w:fill="FFFFFF"/>
            <w:vAlign w:val="center"/>
          </w:tcPr>
          <w:p w14:paraId="7E6B0EF7">
            <w:pPr>
              <w:widowControl/>
              <w:jc w:val="center"/>
              <w:rPr>
                <w:rFonts w:asciiTheme="minorEastAsia" w:hAnsiTheme="minorEastAsia" w:eastAsiaTheme="minorEastAsia"/>
                <w:kern w:val="0"/>
                <w:sz w:val="21"/>
                <w:szCs w:val="21"/>
              </w:rPr>
            </w:pPr>
          </w:p>
        </w:tc>
      </w:tr>
      <w:tr w14:paraId="7BD6D7B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673" w:type="pct"/>
            <w:vMerge w:val="restart"/>
            <w:vAlign w:val="center"/>
          </w:tcPr>
          <w:p w14:paraId="2B4B3D53">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生产研发、科研设计</w:t>
            </w:r>
          </w:p>
        </w:tc>
        <w:tc>
          <w:tcPr>
            <w:tcW w:w="1156" w:type="pct"/>
            <w:vMerge w:val="restart"/>
            <w:vAlign w:val="center"/>
          </w:tcPr>
          <w:p w14:paraId="54864EF9">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车位/10000</w:t>
            </w:r>
            <w:r>
              <w:rPr>
                <w:rFonts w:hint="eastAsia" w:asciiTheme="minorEastAsia" w:hAnsiTheme="minorEastAsia" w:eastAsiaTheme="minorEastAsia"/>
                <w:kern w:val="0"/>
                <w:sz w:val="21"/>
                <w:szCs w:val="21"/>
              </w:rPr>
              <w:t xml:space="preserve"> m</w:t>
            </w:r>
            <w:r>
              <w:rPr>
                <w:rFonts w:asciiTheme="minorEastAsia" w:hAnsiTheme="minorEastAsia" w:eastAsiaTheme="minorEastAsia"/>
                <w:kern w:val="0"/>
                <w:sz w:val="21"/>
                <w:szCs w:val="21"/>
                <w:vertAlign w:val="superscript"/>
              </w:rPr>
              <w:t>2</w:t>
            </w:r>
            <w:r>
              <w:rPr>
                <w:rFonts w:asciiTheme="minorEastAsia" w:hAnsiTheme="minorEastAsia" w:eastAsiaTheme="minorEastAsia"/>
                <w:kern w:val="0"/>
                <w:sz w:val="21"/>
                <w:szCs w:val="21"/>
              </w:rPr>
              <w:t>建筑面积</w:t>
            </w:r>
          </w:p>
        </w:tc>
        <w:tc>
          <w:tcPr>
            <w:tcW w:w="988" w:type="pct"/>
            <w:vMerge w:val="restart"/>
            <w:vAlign w:val="center"/>
          </w:tcPr>
          <w:p w14:paraId="4C144AC5">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w:t>
            </w:r>
          </w:p>
        </w:tc>
        <w:tc>
          <w:tcPr>
            <w:tcW w:w="983" w:type="pct"/>
            <w:vMerge w:val="restart"/>
            <w:vAlign w:val="center"/>
          </w:tcPr>
          <w:p w14:paraId="1B6A7096">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1.5</w:t>
            </w:r>
          </w:p>
        </w:tc>
        <w:tc>
          <w:tcPr>
            <w:tcW w:w="687" w:type="pct"/>
            <w:vAlign w:val="center"/>
          </w:tcPr>
          <w:p w14:paraId="74F40CE3">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一类区：—</w:t>
            </w:r>
          </w:p>
        </w:tc>
        <w:tc>
          <w:tcPr>
            <w:tcW w:w="513" w:type="pct"/>
            <w:vMerge w:val="continue"/>
            <w:shd w:val="clear" w:color="auto" w:fill="FFFFFF"/>
            <w:vAlign w:val="center"/>
          </w:tcPr>
          <w:p w14:paraId="18580B9A">
            <w:pPr>
              <w:widowControl/>
              <w:jc w:val="center"/>
              <w:rPr>
                <w:rFonts w:asciiTheme="minorEastAsia" w:hAnsiTheme="minorEastAsia" w:eastAsiaTheme="minorEastAsia"/>
                <w:kern w:val="0"/>
                <w:sz w:val="21"/>
                <w:szCs w:val="21"/>
              </w:rPr>
            </w:pPr>
          </w:p>
        </w:tc>
      </w:tr>
      <w:tr w14:paraId="0B786D8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673" w:type="pct"/>
            <w:vMerge w:val="continue"/>
            <w:shd w:val="clear" w:color="auto" w:fill="FFFFFF"/>
            <w:vAlign w:val="center"/>
          </w:tcPr>
          <w:p w14:paraId="58067745">
            <w:pPr>
              <w:widowControl/>
              <w:jc w:val="center"/>
              <w:rPr>
                <w:rFonts w:asciiTheme="minorEastAsia" w:hAnsiTheme="minorEastAsia" w:eastAsiaTheme="minorEastAsia"/>
                <w:kern w:val="0"/>
                <w:sz w:val="21"/>
                <w:szCs w:val="21"/>
              </w:rPr>
            </w:pPr>
          </w:p>
        </w:tc>
        <w:tc>
          <w:tcPr>
            <w:tcW w:w="1156" w:type="pct"/>
            <w:vMerge w:val="continue"/>
            <w:shd w:val="clear" w:color="auto" w:fill="FFFFFF"/>
            <w:vAlign w:val="center"/>
          </w:tcPr>
          <w:p w14:paraId="6137407F">
            <w:pPr>
              <w:widowControl/>
              <w:jc w:val="center"/>
              <w:rPr>
                <w:rFonts w:asciiTheme="minorEastAsia" w:hAnsiTheme="minorEastAsia" w:eastAsiaTheme="minorEastAsia"/>
                <w:kern w:val="0"/>
                <w:sz w:val="21"/>
                <w:szCs w:val="21"/>
              </w:rPr>
            </w:pPr>
          </w:p>
        </w:tc>
        <w:tc>
          <w:tcPr>
            <w:tcW w:w="988" w:type="pct"/>
            <w:vMerge w:val="continue"/>
            <w:shd w:val="clear" w:color="auto" w:fill="FFFFFF"/>
            <w:vAlign w:val="center"/>
          </w:tcPr>
          <w:p w14:paraId="43B38B3A">
            <w:pPr>
              <w:widowControl/>
              <w:jc w:val="center"/>
              <w:rPr>
                <w:rFonts w:asciiTheme="minorEastAsia" w:hAnsiTheme="minorEastAsia" w:eastAsiaTheme="minorEastAsia"/>
                <w:kern w:val="0"/>
                <w:sz w:val="21"/>
                <w:szCs w:val="21"/>
              </w:rPr>
            </w:pPr>
          </w:p>
        </w:tc>
        <w:tc>
          <w:tcPr>
            <w:tcW w:w="983" w:type="pct"/>
            <w:vMerge w:val="continue"/>
            <w:shd w:val="clear" w:color="auto" w:fill="FFFFFF"/>
            <w:vAlign w:val="center"/>
          </w:tcPr>
          <w:p w14:paraId="62070782">
            <w:pPr>
              <w:widowControl/>
              <w:jc w:val="center"/>
              <w:rPr>
                <w:rFonts w:asciiTheme="minorEastAsia" w:hAnsiTheme="minorEastAsia" w:eastAsiaTheme="minorEastAsia"/>
                <w:kern w:val="0"/>
                <w:sz w:val="21"/>
                <w:szCs w:val="21"/>
              </w:rPr>
            </w:pPr>
          </w:p>
        </w:tc>
        <w:tc>
          <w:tcPr>
            <w:tcW w:w="687" w:type="pct"/>
            <w:vAlign w:val="center"/>
          </w:tcPr>
          <w:p w14:paraId="66D9AC4A">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二类区：0.5</w:t>
            </w:r>
          </w:p>
        </w:tc>
        <w:tc>
          <w:tcPr>
            <w:tcW w:w="513" w:type="pct"/>
            <w:vMerge w:val="continue"/>
            <w:shd w:val="clear" w:color="auto" w:fill="FFFFFF"/>
            <w:vAlign w:val="center"/>
          </w:tcPr>
          <w:p w14:paraId="12432EA5">
            <w:pPr>
              <w:widowControl/>
              <w:jc w:val="center"/>
              <w:rPr>
                <w:rFonts w:asciiTheme="minorEastAsia" w:hAnsiTheme="minorEastAsia" w:eastAsiaTheme="minorEastAsia"/>
                <w:kern w:val="0"/>
                <w:sz w:val="21"/>
                <w:szCs w:val="21"/>
              </w:rPr>
            </w:pPr>
          </w:p>
        </w:tc>
      </w:tr>
      <w:tr w14:paraId="52E1B92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673" w:type="pct"/>
            <w:vMerge w:val="continue"/>
            <w:shd w:val="clear" w:color="auto" w:fill="FFFFFF"/>
            <w:vAlign w:val="center"/>
          </w:tcPr>
          <w:p w14:paraId="201FD4F0">
            <w:pPr>
              <w:widowControl/>
              <w:jc w:val="center"/>
              <w:rPr>
                <w:rFonts w:asciiTheme="minorEastAsia" w:hAnsiTheme="minorEastAsia" w:eastAsiaTheme="minorEastAsia"/>
                <w:kern w:val="0"/>
                <w:sz w:val="21"/>
                <w:szCs w:val="21"/>
              </w:rPr>
            </w:pPr>
          </w:p>
        </w:tc>
        <w:tc>
          <w:tcPr>
            <w:tcW w:w="1156" w:type="pct"/>
            <w:vMerge w:val="continue"/>
            <w:shd w:val="clear" w:color="auto" w:fill="FFFFFF"/>
            <w:vAlign w:val="center"/>
          </w:tcPr>
          <w:p w14:paraId="41573181">
            <w:pPr>
              <w:widowControl/>
              <w:jc w:val="center"/>
              <w:rPr>
                <w:rFonts w:asciiTheme="minorEastAsia" w:hAnsiTheme="minorEastAsia" w:eastAsiaTheme="minorEastAsia"/>
                <w:kern w:val="0"/>
                <w:sz w:val="21"/>
                <w:szCs w:val="21"/>
              </w:rPr>
            </w:pPr>
          </w:p>
        </w:tc>
        <w:tc>
          <w:tcPr>
            <w:tcW w:w="988" w:type="pct"/>
            <w:vMerge w:val="continue"/>
            <w:shd w:val="clear" w:color="auto" w:fill="FFFFFF"/>
            <w:vAlign w:val="center"/>
          </w:tcPr>
          <w:p w14:paraId="324C626B">
            <w:pPr>
              <w:widowControl/>
              <w:jc w:val="center"/>
              <w:rPr>
                <w:rFonts w:asciiTheme="minorEastAsia" w:hAnsiTheme="minorEastAsia" w:eastAsiaTheme="minorEastAsia"/>
                <w:kern w:val="0"/>
                <w:sz w:val="21"/>
                <w:szCs w:val="21"/>
              </w:rPr>
            </w:pPr>
          </w:p>
        </w:tc>
        <w:tc>
          <w:tcPr>
            <w:tcW w:w="983" w:type="pct"/>
            <w:vMerge w:val="continue"/>
            <w:shd w:val="clear" w:color="auto" w:fill="FFFFFF"/>
            <w:vAlign w:val="center"/>
          </w:tcPr>
          <w:p w14:paraId="06A07F8F">
            <w:pPr>
              <w:widowControl/>
              <w:jc w:val="center"/>
              <w:rPr>
                <w:rFonts w:asciiTheme="minorEastAsia" w:hAnsiTheme="minorEastAsia" w:eastAsiaTheme="minorEastAsia"/>
                <w:kern w:val="0"/>
                <w:sz w:val="21"/>
                <w:szCs w:val="21"/>
              </w:rPr>
            </w:pPr>
          </w:p>
        </w:tc>
        <w:tc>
          <w:tcPr>
            <w:tcW w:w="687" w:type="pct"/>
            <w:vAlign w:val="center"/>
          </w:tcPr>
          <w:p w14:paraId="4EFFC03A">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三类区：1.5</w:t>
            </w:r>
          </w:p>
        </w:tc>
        <w:tc>
          <w:tcPr>
            <w:tcW w:w="513" w:type="pct"/>
            <w:vMerge w:val="continue"/>
            <w:shd w:val="clear" w:color="auto" w:fill="FFFFFF"/>
            <w:vAlign w:val="center"/>
          </w:tcPr>
          <w:p w14:paraId="5FD15E77">
            <w:pPr>
              <w:widowControl/>
              <w:jc w:val="center"/>
              <w:rPr>
                <w:rFonts w:asciiTheme="minorEastAsia" w:hAnsiTheme="minorEastAsia" w:eastAsiaTheme="minorEastAsia"/>
                <w:kern w:val="0"/>
                <w:sz w:val="21"/>
                <w:szCs w:val="21"/>
              </w:rPr>
            </w:pPr>
          </w:p>
        </w:tc>
      </w:tr>
      <w:tr w14:paraId="215F26A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673" w:type="pct"/>
            <w:vAlign w:val="center"/>
          </w:tcPr>
          <w:p w14:paraId="5CE257C9">
            <w:pPr>
              <w:widowControl/>
              <w:jc w:val="center"/>
              <w:rPr>
                <w:rFonts w:asciiTheme="minorEastAsia" w:hAnsiTheme="minorEastAsia" w:eastAsiaTheme="minorEastAsia"/>
                <w:kern w:val="0"/>
                <w:sz w:val="21"/>
                <w:szCs w:val="21"/>
              </w:rPr>
            </w:pPr>
            <w:r>
              <w:rPr>
                <w:rFonts w:hint="eastAsia" w:asciiTheme="minorEastAsia" w:hAnsiTheme="minorEastAsia" w:eastAsiaTheme="minorEastAsia"/>
                <w:kern w:val="0"/>
                <w:sz w:val="21"/>
                <w:szCs w:val="21"/>
              </w:rPr>
              <w:t>医疗卫生</w:t>
            </w:r>
          </w:p>
        </w:tc>
        <w:tc>
          <w:tcPr>
            <w:tcW w:w="1156" w:type="pct"/>
            <w:vAlign w:val="center"/>
          </w:tcPr>
          <w:p w14:paraId="751269F0">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车位/100个床位</w:t>
            </w:r>
          </w:p>
        </w:tc>
        <w:tc>
          <w:tcPr>
            <w:tcW w:w="988" w:type="pct"/>
            <w:vAlign w:val="center"/>
          </w:tcPr>
          <w:p w14:paraId="73D565CC">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按需设救护车位</w:t>
            </w:r>
          </w:p>
        </w:tc>
        <w:tc>
          <w:tcPr>
            <w:tcW w:w="983" w:type="pct"/>
            <w:vAlign w:val="center"/>
          </w:tcPr>
          <w:p w14:paraId="23BA1E7D">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1.5</w:t>
            </w:r>
          </w:p>
        </w:tc>
        <w:tc>
          <w:tcPr>
            <w:tcW w:w="687" w:type="pct"/>
            <w:vAlign w:val="center"/>
          </w:tcPr>
          <w:p w14:paraId="75B27F49">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w:t>
            </w:r>
          </w:p>
        </w:tc>
        <w:tc>
          <w:tcPr>
            <w:tcW w:w="513" w:type="pct"/>
            <w:vMerge w:val="continue"/>
            <w:shd w:val="clear" w:color="auto" w:fill="FFFFFF"/>
            <w:vAlign w:val="center"/>
          </w:tcPr>
          <w:p w14:paraId="2B566D36">
            <w:pPr>
              <w:widowControl/>
              <w:jc w:val="center"/>
              <w:rPr>
                <w:rFonts w:asciiTheme="minorEastAsia" w:hAnsiTheme="minorEastAsia" w:eastAsiaTheme="minorEastAsia"/>
                <w:kern w:val="0"/>
                <w:sz w:val="21"/>
                <w:szCs w:val="21"/>
              </w:rPr>
            </w:pPr>
          </w:p>
        </w:tc>
      </w:tr>
    </w:tbl>
    <w:p w14:paraId="256BC0E1">
      <w:pPr>
        <w:spacing w:line="600" w:lineRule="exact"/>
        <w:rPr>
          <w:rFonts w:eastAsia="方正书宋_GBK"/>
          <w:sz w:val="21"/>
          <w:szCs w:val="21"/>
        </w:rPr>
      </w:pPr>
    </w:p>
    <w:p w14:paraId="51589717">
      <w:pPr>
        <w:spacing w:line="600" w:lineRule="exact"/>
        <w:rPr>
          <w:rFonts w:eastAsia="方正书宋_GBK"/>
          <w:sz w:val="21"/>
          <w:szCs w:val="21"/>
        </w:rPr>
      </w:pPr>
    </w:p>
    <w:p w14:paraId="636893A6">
      <w:pPr>
        <w:spacing w:line="600" w:lineRule="exact"/>
        <w:rPr>
          <w:rFonts w:eastAsia="方正书宋_GBK"/>
          <w:sz w:val="21"/>
          <w:szCs w:val="21"/>
        </w:rPr>
      </w:pPr>
    </w:p>
    <w:p w14:paraId="385DCAD0">
      <w:pPr>
        <w:spacing w:line="600" w:lineRule="exact"/>
        <w:rPr>
          <w:rFonts w:eastAsia="方正书宋_GBK"/>
          <w:sz w:val="21"/>
          <w:szCs w:val="21"/>
        </w:rPr>
      </w:pPr>
    </w:p>
    <w:p w14:paraId="7848B17C">
      <w:pPr>
        <w:spacing w:line="600" w:lineRule="exact"/>
        <w:rPr>
          <w:rFonts w:eastAsia="方正书宋_GBK"/>
          <w:sz w:val="21"/>
          <w:szCs w:val="21"/>
        </w:rPr>
      </w:pPr>
    </w:p>
    <w:p w14:paraId="7784D423">
      <w:pPr>
        <w:spacing w:line="600" w:lineRule="exact"/>
        <w:rPr>
          <w:rFonts w:eastAsia="方正书宋_GBK"/>
          <w:sz w:val="21"/>
          <w:szCs w:val="21"/>
        </w:rPr>
      </w:pPr>
    </w:p>
    <w:p w14:paraId="699CA60A">
      <w:pPr>
        <w:spacing w:line="360" w:lineRule="auto"/>
        <w:rPr>
          <w:rFonts w:ascii="方正黑体_GBK" w:eastAsia="方正黑体_GBK"/>
          <w:sz w:val="32"/>
          <w:szCs w:val="32"/>
        </w:rPr>
      </w:pPr>
      <w:r>
        <w:rPr>
          <w:rFonts w:hint="eastAsia" w:ascii="方正黑体_GBK" w:eastAsia="方正黑体_GBK"/>
          <w:sz w:val="32"/>
          <w:szCs w:val="32"/>
        </w:rPr>
        <w:t>附表4</w:t>
      </w:r>
    </w:p>
    <w:p w14:paraId="3A14E371">
      <w:pPr>
        <w:spacing w:line="360" w:lineRule="auto"/>
        <w:jc w:val="center"/>
        <w:rPr>
          <w:b/>
          <w:sz w:val="24"/>
        </w:rPr>
      </w:pPr>
      <w:bookmarkStart w:id="29" w:name="_Hlk13757206"/>
      <w:r>
        <w:rPr>
          <w:rFonts w:hint="eastAsia"/>
          <w:b/>
          <w:sz w:val="24"/>
        </w:rPr>
        <w:t>其他车型折合成小型车车位或自行车车位的车位换算值</w:t>
      </w:r>
    </w:p>
    <w:bookmarkEnd w:id="29"/>
    <w:tbl>
      <w:tblPr>
        <w:tblStyle w:val="6"/>
        <w:tblW w:w="5326" w:type="pct"/>
        <w:tblInd w:w="-299"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8"/>
        <w:gridCol w:w="3337"/>
        <w:gridCol w:w="3103"/>
      </w:tblGrid>
      <w:tr w14:paraId="7D494E7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340" w:hRule="atLeast"/>
        </w:trPr>
        <w:tc>
          <w:tcPr>
            <w:tcW w:w="3291" w:type="pct"/>
            <w:gridSpan w:val="2"/>
            <w:vAlign w:val="center"/>
          </w:tcPr>
          <w:p w14:paraId="65EBDDA8">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车型</w:t>
            </w:r>
          </w:p>
        </w:tc>
        <w:tc>
          <w:tcPr>
            <w:tcW w:w="1709" w:type="pct"/>
            <w:vAlign w:val="center"/>
          </w:tcPr>
          <w:p w14:paraId="47C02750">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车位换算值</w:t>
            </w:r>
          </w:p>
        </w:tc>
      </w:tr>
      <w:tr w14:paraId="0FE6102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453" w:type="pct"/>
            <w:vMerge w:val="restart"/>
            <w:vAlign w:val="center"/>
          </w:tcPr>
          <w:p w14:paraId="2EDEFD72">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机动车</w:t>
            </w:r>
          </w:p>
        </w:tc>
        <w:tc>
          <w:tcPr>
            <w:tcW w:w="1837" w:type="pct"/>
            <w:vAlign w:val="center"/>
          </w:tcPr>
          <w:p w14:paraId="18905592">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二轮摩托车</w:t>
            </w:r>
          </w:p>
        </w:tc>
        <w:tc>
          <w:tcPr>
            <w:tcW w:w="1709" w:type="pct"/>
            <w:vAlign w:val="center"/>
          </w:tcPr>
          <w:p w14:paraId="041DD8FF">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0.2</w:t>
            </w:r>
          </w:p>
        </w:tc>
      </w:tr>
      <w:tr w14:paraId="05D63E0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453" w:type="pct"/>
            <w:vMerge w:val="continue"/>
            <w:shd w:val="clear" w:color="auto" w:fill="FFFFFF"/>
            <w:vAlign w:val="center"/>
          </w:tcPr>
          <w:p w14:paraId="0AEA0E7D">
            <w:pPr>
              <w:widowControl/>
              <w:jc w:val="center"/>
              <w:rPr>
                <w:rFonts w:asciiTheme="minorEastAsia" w:hAnsiTheme="minorEastAsia" w:eastAsiaTheme="minorEastAsia"/>
                <w:kern w:val="0"/>
                <w:sz w:val="21"/>
                <w:szCs w:val="21"/>
              </w:rPr>
            </w:pPr>
          </w:p>
        </w:tc>
        <w:tc>
          <w:tcPr>
            <w:tcW w:w="1837" w:type="pct"/>
            <w:vAlign w:val="center"/>
          </w:tcPr>
          <w:p w14:paraId="7488873A">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三轮摩托车</w:t>
            </w:r>
          </w:p>
        </w:tc>
        <w:tc>
          <w:tcPr>
            <w:tcW w:w="1709" w:type="pct"/>
            <w:vAlign w:val="center"/>
          </w:tcPr>
          <w:p w14:paraId="56C73813">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0.7</w:t>
            </w:r>
          </w:p>
        </w:tc>
      </w:tr>
      <w:tr w14:paraId="71751DC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453" w:type="pct"/>
            <w:vMerge w:val="continue"/>
            <w:shd w:val="clear" w:color="auto" w:fill="FFFFFF"/>
            <w:vAlign w:val="center"/>
          </w:tcPr>
          <w:p w14:paraId="55D27218">
            <w:pPr>
              <w:widowControl/>
              <w:jc w:val="center"/>
              <w:rPr>
                <w:rFonts w:asciiTheme="minorEastAsia" w:hAnsiTheme="minorEastAsia" w:eastAsiaTheme="minorEastAsia"/>
                <w:kern w:val="0"/>
                <w:sz w:val="21"/>
                <w:szCs w:val="21"/>
              </w:rPr>
            </w:pPr>
          </w:p>
        </w:tc>
        <w:tc>
          <w:tcPr>
            <w:tcW w:w="1837" w:type="pct"/>
            <w:vAlign w:val="center"/>
          </w:tcPr>
          <w:p w14:paraId="4C956256">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微型车</w:t>
            </w:r>
          </w:p>
        </w:tc>
        <w:tc>
          <w:tcPr>
            <w:tcW w:w="1709" w:type="pct"/>
            <w:vAlign w:val="center"/>
          </w:tcPr>
          <w:p w14:paraId="578496E9">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0.7</w:t>
            </w:r>
          </w:p>
        </w:tc>
      </w:tr>
      <w:tr w14:paraId="5E2FDC5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453" w:type="pct"/>
            <w:vMerge w:val="continue"/>
            <w:shd w:val="clear" w:color="auto" w:fill="FFFFFF"/>
            <w:vAlign w:val="center"/>
          </w:tcPr>
          <w:p w14:paraId="618F8B18">
            <w:pPr>
              <w:widowControl/>
              <w:jc w:val="center"/>
              <w:rPr>
                <w:rFonts w:asciiTheme="minorEastAsia" w:hAnsiTheme="minorEastAsia" w:eastAsiaTheme="minorEastAsia"/>
                <w:kern w:val="0"/>
                <w:sz w:val="21"/>
                <w:szCs w:val="21"/>
              </w:rPr>
            </w:pPr>
          </w:p>
        </w:tc>
        <w:tc>
          <w:tcPr>
            <w:tcW w:w="1837" w:type="pct"/>
            <w:vAlign w:val="center"/>
          </w:tcPr>
          <w:p w14:paraId="7FEF7464">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小型车</w:t>
            </w:r>
          </w:p>
        </w:tc>
        <w:tc>
          <w:tcPr>
            <w:tcW w:w="1709" w:type="pct"/>
            <w:vAlign w:val="center"/>
          </w:tcPr>
          <w:p w14:paraId="3801A8C8">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1.0</w:t>
            </w:r>
          </w:p>
        </w:tc>
      </w:tr>
      <w:tr w14:paraId="054EDDF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453" w:type="pct"/>
            <w:vMerge w:val="continue"/>
            <w:shd w:val="clear" w:color="auto" w:fill="FFFFFF"/>
            <w:vAlign w:val="center"/>
          </w:tcPr>
          <w:p w14:paraId="73F1C5A5">
            <w:pPr>
              <w:widowControl/>
              <w:jc w:val="center"/>
              <w:rPr>
                <w:rFonts w:asciiTheme="minorEastAsia" w:hAnsiTheme="minorEastAsia" w:eastAsiaTheme="minorEastAsia"/>
                <w:kern w:val="0"/>
                <w:sz w:val="21"/>
                <w:szCs w:val="21"/>
              </w:rPr>
            </w:pPr>
          </w:p>
        </w:tc>
        <w:tc>
          <w:tcPr>
            <w:tcW w:w="1837" w:type="pct"/>
            <w:vAlign w:val="center"/>
          </w:tcPr>
          <w:p w14:paraId="06463CE3">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中型车</w:t>
            </w:r>
          </w:p>
        </w:tc>
        <w:tc>
          <w:tcPr>
            <w:tcW w:w="1709" w:type="pct"/>
            <w:vAlign w:val="center"/>
          </w:tcPr>
          <w:p w14:paraId="05570520">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2.0</w:t>
            </w:r>
          </w:p>
        </w:tc>
      </w:tr>
      <w:tr w14:paraId="62FC229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453" w:type="pct"/>
            <w:vMerge w:val="continue"/>
            <w:shd w:val="clear" w:color="auto" w:fill="FFFFFF"/>
            <w:vAlign w:val="center"/>
          </w:tcPr>
          <w:p w14:paraId="68114C52">
            <w:pPr>
              <w:widowControl/>
              <w:jc w:val="center"/>
              <w:rPr>
                <w:rFonts w:asciiTheme="minorEastAsia" w:hAnsiTheme="minorEastAsia" w:eastAsiaTheme="minorEastAsia"/>
                <w:kern w:val="0"/>
                <w:sz w:val="21"/>
                <w:szCs w:val="21"/>
              </w:rPr>
            </w:pPr>
          </w:p>
        </w:tc>
        <w:tc>
          <w:tcPr>
            <w:tcW w:w="1837" w:type="pct"/>
            <w:vAlign w:val="center"/>
          </w:tcPr>
          <w:p w14:paraId="52B4E621">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大型车</w:t>
            </w:r>
          </w:p>
        </w:tc>
        <w:tc>
          <w:tcPr>
            <w:tcW w:w="1709" w:type="pct"/>
            <w:vAlign w:val="center"/>
          </w:tcPr>
          <w:p w14:paraId="3189F49A">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2.5</w:t>
            </w:r>
          </w:p>
        </w:tc>
      </w:tr>
      <w:tr w14:paraId="7188392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453" w:type="pct"/>
            <w:vMerge w:val="continue"/>
            <w:shd w:val="clear" w:color="auto" w:fill="FFFFFF"/>
            <w:vAlign w:val="center"/>
          </w:tcPr>
          <w:p w14:paraId="2788C06A">
            <w:pPr>
              <w:widowControl/>
              <w:jc w:val="center"/>
              <w:rPr>
                <w:rFonts w:asciiTheme="minorEastAsia" w:hAnsiTheme="minorEastAsia" w:eastAsiaTheme="minorEastAsia"/>
                <w:kern w:val="0"/>
                <w:sz w:val="21"/>
                <w:szCs w:val="21"/>
              </w:rPr>
            </w:pPr>
          </w:p>
        </w:tc>
        <w:tc>
          <w:tcPr>
            <w:tcW w:w="1837" w:type="pct"/>
            <w:vAlign w:val="center"/>
          </w:tcPr>
          <w:p w14:paraId="67827961">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铰接车</w:t>
            </w:r>
          </w:p>
        </w:tc>
        <w:tc>
          <w:tcPr>
            <w:tcW w:w="1709" w:type="pct"/>
            <w:vAlign w:val="center"/>
          </w:tcPr>
          <w:p w14:paraId="213FD7A3">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3.5</w:t>
            </w:r>
          </w:p>
        </w:tc>
      </w:tr>
      <w:tr w14:paraId="710F65A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453" w:type="pct"/>
            <w:vMerge w:val="restart"/>
            <w:vAlign w:val="center"/>
          </w:tcPr>
          <w:p w14:paraId="747C089F">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非机动车</w:t>
            </w:r>
          </w:p>
        </w:tc>
        <w:tc>
          <w:tcPr>
            <w:tcW w:w="1837" w:type="pct"/>
            <w:vAlign w:val="center"/>
          </w:tcPr>
          <w:p w14:paraId="063113A2">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自行车</w:t>
            </w:r>
          </w:p>
        </w:tc>
        <w:tc>
          <w:tcPr>
            <w:tcW w:w="1709" w:type="pct"/>
            <w:vAlign w:val="center"/>
          </w:tcPr>
          <w:p w14:paraId="35F0EE89">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1.0</w:t>
            </w:r>
          </w:p>
        </w:tc>
      </w:tr>
      <w:tr w14:paraId="2543195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453" w:type="pct"/>
            <w:vMerge w:val="continue"/>
            <w:shd w:val="clear" w:color="auto" w:fill="FFFFFF"/>
            <w:vAlign w:val="center"/>
          </w:tcPr>
          <w:p w14:paraId="05408715">
            <w:pPr>
              <w:widowControl/>
              <w:jc w:val="center"/>
              <w:rPr>
                <w:rFonts w:asciiTheme="minorEastAsia" w:hAnsiTheme="minorEastAsia" w:eastAsiaTheme="minorEastAsia"/>
                <w:kern w:val="0"/>
                <w:sz w:val="21"/>
                <w:szCs w:val="21"/>
              </w:rPr>
            </w:pPr>
          </w:p>
        </w:tc>
        <w:tc>
          <w:tcPr>
            <w:tcW w:w="1837" w:type="pct"/>
            <w:vAlign w:val="center"/>
          </w:tcPr>
          <w:p w14:paraId="1A8BAB89">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三轮车</w:t>
            </w:r>
          </w:p>
        </w:tc>
        <w:tc>
          <w:tcPr>
            <w:tcW w:w="1709" w:type="pct"/>
            <w:vAlign w:val="center"/>
          </w:tcPr>
          <w:p w14:paraId="0EC0E517">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2.5</w:t>
            </w:r>
          </w:p>
        </w:tc>
      </w:tr>
      <w:tr w14:paraId="2E0F6D3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453" w:type="pct"/>
            <w:vMerge w:val="continue"/>
            <w:shd w:val="clear" w:color="auto" w:fill="FFFFFF"/>
            <w:vAlign w:val="center"/>
          </w:tcPr>
          <w:p w14:paraId="7F625783">
            <w:pPr>
              <w:widowControl/>
              <w:jc w:val="center"/>
              <w:rPr>
                <w:rFonts w:asciiTheme="minorEastAsia" w:hAnsiTheme="minorEastAsia" w:eastAsiaTheme="minorEastAsia"/>
                <w:kern w:val="0"/>
                <w:sz w:val="21"/>
                <w:szCs w:val="21"/>
              </w:rPr>
            </w:pPr>
          </w:p>
        </w:tc>
        <w:tc>
          <w:tcPr>
            <w:tcW w:w="1837" w:type="pct"/>
            <w:vAlign w:val="center"/>
          </w:tcPr>
          <w:p w14:paraId="292724B6">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助力车</w:t>
            </w:r>
          </w:p>
        </w:tc>
        <w:tc>
          <w:tcPr>
            <w:tcW w:w="1709" w:type="pct"/>
            <w:vAlign w:val="center"/>
          </w:tcPr>
          <w:p w14:paraId="6CBD7696">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1.5</w:t>
            </w:r>
          </w:p>
        </w:tc>
      </w:tr>
    </w:tbl>
    <w:p w14:paraId="5F98D8A4">
      <w:pPr>
        <w:spacing w:line="360" w:lineRule="auto"/>
        <w:rPr>
          <w:rFonts w:eastAsia="仿宋_GB2312"/>
          <w:sz w:val="32"/>
          <w:szCs w:val="32"/>
        </w:rPr>
      </w:pPr>
    </w:p>
    <w:p w14:paraId="460C7779">
      <w:pPr>
        <w:widowControl/>
        <w:jc w:val="left"/>
        <w:rPr>
          <w:rFonts w:eastAsia="仿宋_GB2312"/>
          <w:sz w:val="32"/>
          <w:szCs w:val="32"/>
        </w:rPr>
      </w:pPr>
    </w:p>
    <w:p w14:paraId="6679ACEC">
      <w:pPr>
        <w:widowControl/>
        <w:jc w:val="left"/>
        <w:rPr>
          <w:rFonts w:eastAsia="仿宋_GB2312"/>
          <w:sz w:val="32"/>
          <w:szCs w:val="32"/>
        </w:rPr>
      </w:pPr>
    </w:p>
    <w:p w14:paraId="30F4AE95">
      <w:pPr>
        <w:widowControl/>
        <w:jc w:val="left"/>
        <w:rPr>
          <w:rFonts w:eastAsia="仿宋_GB2312"/>
        </w:rPr>
      </w:pPr>
    </w:p>
    <w:p w14:paraId="5124C700">
      <w:pPr>
        <w:widowControl/>
        <w:jc w:val="left"/>
        <w:rPr>
          <w:rFonts w:ascii="方正黑体_GBK" w:eastAsia="方正黑体_GBK"/>
          <w:sz w:val="32"/>
          <w:szCs w:val="32"/>
        </w:rPr>
      </w:pPr>
      <w:r>
        <w:rPr>
          <w:rFonts w:hint="eastAsia" w:ascii="方正黑体_GBK" w:eastAsia="方正黑体_GBK"/>
          <w:sz w:val="32"/>
          <w:szCs w:val="32"/>
        </w:rPr>
        <w:t>附表5</w:t>
      </w:r>
    </w:p>
    <w:p w14:paraId="57F4E933">
      <w:pPr>
        <w:spacing w:line="360" w:lineRule="auto"/>
        <w:jc w:val="center"/>
        <w:rPr>
          <w:b/>
          <w:sz w:val="24"/>
        </w:rPr>
      </w:pPr>
      <w:r>
        <w:rPr>
          <w:rFonts w:hint="eastAsia"/>
          <w:b/>
          <w:sz w:val="24"/>
        </w:rPr>
        <w:t>允许少配建停车泊位数比例最大值</w:t>
      </w:r>
    </w:p>
    <w:tbl>
      <w:tblPr>
        <w:tblStyle w:val="6"/>
        <w:tblW w:w="5326" w:type="pct"/>
        <w:tblInd w:w="-299"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13"/>
        <w:gridCol w:w="1701"/>
        <w:gridCol w:w="1844"/>
        <w:gridCol w:w="2054"/>
        <w:gridCol w:w="1842"/>
      </w:tblGrid>
      <w:tr w14:paraId="025E7DF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00" w:hRule="atLeast"/>
        </w:trPr>
        <w:tc>
          <w:tcPr>
            <w:tcW w:w="936" w:type="pct"/>
            <w:tcMar>
              <w:top w:w="72" w:type="dxa"/>
              <w:left w:w="144" w:type="dxa"/>
              <w:bottom w:w="72" w:type="dxa"/>
              <w:right w:w="144" w:type="dxa"/>
            </w:tcMar>
            <w:vAlign w:val="center"/>
          </w:tcPr>
          <w:p w14:paraId="024853DC">
            <w:pPr>
              <w:widowControl/>
              <w:jc w:val="center"/>
              <w:rPr>
                <w:rFonts w:asciiTheme="minorEastAsia" w:hAnsiTheme="minorEastAsia" w:eastAsiaTheme="minorEastAsia"/>
                <w:kern w:val="0"/>
                <w:sz w:val="21"/>
                <w:szCs w:val="21"/>
              </w:rPr>
            </w:pPr>
          </w:p>
        </w:tc>
        <w:tc>
          <w:tcPr>
            <w:tcW w:w="929" w:type="pct"/>
            <w:tcMar>
              <w:top w:w="72" w:type="dxa"/>
              <w:left w:w="144" w:type="dxa"/>
              <w:bottom w:w="72" w:type="dxa"/>
              <w:right w:w="144" w:type="dxa"/>
            </w:tcMar>
            <w:vAlign w:val="center"/>
          </w:tcPr>
          <w:p w14:paraId="482A906C">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住宅</w:t>
            </w:r>
          </w:p>
        </w:tc>
        <w:tc>
          <w:tcPr>
            <w:tcW w:w="1007" w:type="pct"/>
            <w:tcMar>
              <w:top w:w="72" w:type="dxa"/>
              <w:left w:w="144" w:type="dxa"/>
              <w:bottom w:w="72" w:type="dxa"/>
              <w:right w:w="144" w:type="dxa"/>
            </w:tcMar>
            <w:vAlign w:val="center"/>
          </w:tcPr>
          <w:p w14:paraId="61C56F57">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办公</w:t>
            </w:r>
          </w:p>
        </w:tc>
        <w:tc>
          <w:tcPr>
            <w:tcW w:w="1122" w:type="pct"/>
            <w:tcMar>
              <w:top w:w="72" w:type="dxa"/>
              <w:left w:w="144" w:type="dxa"/>
              <w:bottom w:w="72" w:type="dxa"/>
              <w:right w:w="144" w:type="dxa"/>
            </w:tcMar>
            <w:vAlign w:val="center"/>
          </w:tcPr>
          <w:p w14:paraId="7799D4B8">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餐饮娱乐</w:t>
            </w:r>
          </w:p>
        </w:tc>
        <w:tc>
          <w:tcPr>
            <w:tcW w:w="1006" w:type="pct"/>
            <w:tcMar>
              <w:top w:w="72" w:type="dxa"/>
              <w:left w:w="144" w:type="dxa"/>
              <w:bottom w:w="72" w:type="dxa"/>
              <w:right w:w="144" w:type="dxa"/>
            </w:tcMar>
            <w:vAlign w:val="center"/>
          </w:tcPr>
          <w:p w14:paraId="36CC72D1">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商业</w:t>
            </w:r>
          </w:p>
        </w:tc>
      </w:tr>
      <w:tr w14:paraId="13106F5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93" w:hRule="atLeast"/>
        </w:trPr>
        <w:tc>
          <w:tcPr>
            <w:tcW w:w="936" w:type="pct"/>
            <w:tcMar>
              <w:top w:w="72" w:type="dxa"/>
              <w:left w:w="144" w:type="dxa"/>
              <w:bottom w:w="72" w:type="dxa"/>
              <w:right w:w="144" w:type="dxa"/>
            </w:tcMar>
            <w:vAlign w:val="center"/>
          </w:tcPr>
          <w:p w14:paraId="729D6CF3">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一类区</w:t>
            </w:r>
          </w:p>
        </w:tc>
        <w:tc>
          <w:tcPr>
            <w:tcW w:w="929" w:type="pct"/>
            <w:tcMar>
              <w:top w:w="72" w:type="dxa"/>
              <w:left w:w="144" w:type="dxa"/>
              <w:bottom w:w="72" w:type="dxa"/>
              <w:right w:w="144" w:type="dxa"/>
            </w:tcMar>
            <w:vAlign w:val="center"/>
          </w:tcPr>
          <w:p w14:paraId="063C0F5D">
            <w:pPr>
              <w:pStyle w:val="5"/>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15%</w:t>
            </w:r>
          </w:p>
        </w:tc>
        <w:tc>
          <w:tcPr>
            <w:tcW w:w="1007" w:type="pct"/>
            <w:tcMar>
              <w:top w:w="72" w:type="dxa"/>
              <w:left w:w="144" w:type="dxa"/>
              <w:bottom w:w="72" w:type="dxa"/>
              <w:right w:w="144" w:type="dxa"/>
            </w:tcMar>
            <w:vAlign w:val="center"/>
          </w:tcPr>
          <w:p w14:paraId="00A678E4">
            <w:pPr>
              <w:pStyle w:val="5"/>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20%</w:t>
            </w:r>
          </w:p>
        </w:tc>
        <w:tc>
          <w:tcPr>
            <w:tcW w:w="1122" w:type="pct"/>
            <w:tcMar>
              <w:top w:w="72" w:type="dxa"/>
              <w:left w:w="144" w:type="dxa"/>
              <w:bottom w:w="72" w:type="dxa"/>
              <w:right w:w="144" w:type="dxa"/>
            </w:tcMar>
            <w:vAlign w:val="center"/>
          </w:tcPr>
          <w:p w14:paraId="1269D1E8">
            <w:pPr>
              <w:pStyle w:val="5"/>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15%</w:t>
            </w:r>
          </w:p>
        </w:tc>
        <w:tc>
          <w:tcPr>
            <w:tcW w:w="1006" w:type="pct"/>
            <w:tcMar>
              <w:top w:w="72" w:type="dxa"/>
              <w:left w:w="144" w:type="dxa"/>
              <w:bottom w:w="72" w:type="dxa"/>
              <w:right w:w="144" w:type="dxa"/>
            </w:tcMar>
            <w:vAlign w:val="center"/>
          </w:tcPr>
          <w:p w14:paraId="6B6C274C">
            <w:pPr>
              <w:pStyle w:val="5"/>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20%</w:t>
            </w:r>
          </w:p>
        </w:tc>
      </w:tr>
      <w:tr w14:paraId="22FBE18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29" w:hRule="atLeast"/>
        </w:trPr>
        <w:tc>
          <w:tcPr>
            <w:tcW w:w="936" w:type="pct"/>
            <w:tcMar>
              <w:top w:w="72" w:type="dxa"/>
              <w:left w:w="144" w:type="dxa"/>
              <w:bottom w:w="72" w:type="dxa"/>
              <w:right w:w="144" w:type="dxa"/>
            </w:tcMar>
            <w:vAlign w:val="center"/>
          </w:tcPr>
          <w:p w14:paraId="252FEDD1">
            <w:pPr>
              <w:widowControl/>
              <w:jc w:val="center"/>
              <w:rPr>
                <w:rFonts w:asciiTheme="minorEastAsia" w:hAnsiTheme="minorEastAsia" w:eastAsiaTheme="minorEastAsia"/>
                <w:kern w:val="0"/>
                <w:sz w:val="21"/>
                <w:szCs w:val="21"/>
              </w:rPr>
            </w:pPr>
            <w:r>
              <w:rPr>
                <w:rFonts w:asciiTheme="minorEastAsia" w:hAnsiTheme="minorEastAsia" w:eastAsiaTheme="minorEastAsia"/>
                <w:kern w:val="0"/>
                <w:sz w:val="21"/>
                <w:szCs w:val="21"/>
              </w:rPr>
              <w:t>二、三类区</w:t>
            </w:r>
          </w:p>
        </w:tc>
        <w:tc>
          <w:tcPr>
            <w:tcW w:w="929" w:type="pct"/>
            <w:tcMar>
              <w:top w:w="72" w:type="dxa"/>
              <w:left w:w="144" w:type="dxa"/>
              <w:bottom w:w="72" w:type="dxa"/>
              <w:right w:w="144" w:type="dxa"/>
            </w:tcMar>
            <w:vAlign w:val="center"/>
          </w:tcPr>
          <w:p w14:paraId="5C24A1A5">
            <w:pPr>
              <w:pStyle w:val="5"/>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20%</w:t>
            </w:r>
          </w:p>
        </w:tc>
        <w:tc>
          <w:tcPr>
            <w:tcW w:w="1007" w:type="pct"/>
            <w:tcMar>
              <w:top w:w="72" w:type="dxa"/>
              <w:left w:w="144" w:type="dxa"/>
              <w:bottom w:w="72" w:type="dxa"/>
              <w:right w:w="144" w:type="dxa"/>
            </w:tcMar>
            <w:vAlign w:val="center"/>
          </w:tcPr>
          <w:p w14:paraId="11CF6352">
            <w:pPr>
              <w:pStyle w:val="5"/>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30%</w:t>
            </w:r>
          </w:p>
        </w:tc>
        <w:tc>
          <w:tcPr>
            <w:tcW w:w="1122" w:type="pct"/>
            <w:tcMar>
              <w:top w:w="72" w:type="dxa"/>
              <w:left w:w="144" w:type="dxa"/>
              <w:bottom w:w="72" w:type="dxa"/>
              <w:right w:w="144" w:type="dxa"/>
            </w:tcMar>
            <w:vAlign w:val="center"/>
          </w:tcPr>
          <w:p w14:paraId="697F1438">
            <w:pPr>
              <w:pStyle w:val="5"/>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20%</w:t>
            </w:r>
          </w:p>
        </w:tc>
        <w:tc>
          <w:tcPr>
            <w:tcW w:w="1006" w:type="pct"/>
            <w:tcMar>
              <w:top w:w="72" w:type="dxa"/>
              <w:left w:w="144" w:type="dxa"/>
              <w:bottom w:w="72" w:type="dxa"/>
              <w:right w:w="144" w:type="dxa"/>
            </w:tcMar>
            <w:vAlign w:val="center"/>
          </w:tcPr>
          <w:p w14:paraId="7E74B6B4">
            <w:pPr>
              <w:pStyle w:val="5"/>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25%</w:t>
            </w:r>
          </w:p>
        </w:tc>
      </w:tr>
    </w:tbl>
    <w:p w14:paraId="5D78DF8B">
      <w:pPr>
        <w:spacing w:line="600" w:lineRule="exact"/>
        <w:rPr>
          <w:rFonts w:eastAsia="方正书宋_GBK"/>
          <w:sz w:val="21"/>
          <w:szCs w:val="21"/>
        </w:rPr>
      </w:pPr>
    </w:p>
    <w:p w14:paraId="75328A70">
      <w:pPr>
        <w:spacing w:line="600" w:lineRule="exact"/>
        <w:rPr>
          <w:rFonts w:eastAsia="方正书宋_GBK"/>
          <w:sz w:val="21"/>
          <w:szCs w:val="21"/>
        </w:rPr>
      </w:pPr>
    </w:p>
    <w:p w14:paraId="3AE15033">
      <w:pPr>
        <w:spacing w:line="600" w:lineRule="exact"/>
        <w:rPr>
          <w:rFonts w:eastAsia="方正书宋_GBK"/>
          <w:sz w:val="21"/>
          <w:szCs w:val="21"/>
        </w:rPr>
      </w:pPr>
    </w:p>
    <w:p w14:paraId="6DDB2CCD">
      <w:pPr>
        <w:spacing w:line="600" w:lineRule="exact"/>
        <w:rPr>
          <w:rFonts w:eastAsia="方正书宋_GBK"/>
          <w:sz w:val="21"/>
          <w:szCs w:val="21"/>
        </w:rPr>
      </w:pPr>
    </w:p>
    <w:p w14:paraId="017E1D31">
      <w:pPr>
        <w:spacing w:line="600" w:lineRule="exact"/>
        <w:rPr>
          <w:rFonts w:eastAsia="方正书宋_GBK"/>
          <w:sz w:val="21"/>
          <w:szCs w:val="21"/>
        </w:rPr>
      </w:pPr>
    </w:p>
    <w:p w14:paraId="3AAB9E0D">
      <w:pPr>
        <w:spacing w:line="360" w:lineRule="auto"/>
        <w:rPr>
          <w:rFonts w:ascii="方正黑体_GBK" w:eastAsia="方正黑体_GBK"/>
          <w:sz w:val="32"/>
          <w:szCs w:val="32"/>
        </w:rPr>
      </w:pPr>
    </w:p>
    <w:p w14:paraId="405A7A22">
      <w:pPr>
        <w:spacing w:line="360" w:lineRule="auto"/>
        <w:rPr>
          <w:rFonts w:ascii="方正黑体_GBK" w:eastAsia="方正黑体_GBK"/>
          <w:sz w:val="32"/>
          <w:szCs w:val="32"/>
        </w:rPr>
      </w:pPr>
      <w:r>
        <w:rPr>
          <w:rFonts w:hint="eastAsia" w:ascii="方正黑体_GBK" w:eastAsia="方正黑体_GBK"/>
          <w:sz w:val="32"/>
          <w:szCs w:val="32"/>
        </w:rPr>
        <w:t>附图1</w:t>
      </w:r>
    </w:p>
    <w:p w14:paraId="523F7DEE">
      <w:pPr>
        <w:spacing w:after="156" w:afterLines="50" w:line="360" w:lineRule="auto"/>
        <w:jc w:val="center"/>
        <w:rPr>
          <w:b/>
          <w:sz w:val="24"/>
        </w:rPr>
      </w:pPr>
      <w:r>
        <w:rPr>
          <w:rFonts w:hint="eastAsia"/>
          <w:b/>
          <w:sz w:val="24"/>
        </w:rPr>
        <w:t>停车分区划分图</w:t>
      </w:r>
    </w:p>
    <w:p w14:paraId="789CBE92">
      <w:pPr>
        <w:spacing w:line="460" w:lineRule="atLeast"/>
        <w:jc w:val="center"/>
        <w:rPr>
          <w:rFonts w:eastAsia="仿宋_GB2312"/>
          <w:bCs/>
          <w:sz w:val="24"/>
        </w:rPr>
      </w:pPr>
      <w:r>
        <w:rPr>
          <w:rFonts w:eastAsia="仿宋_GB2312"/>
          <w:sz w:val="24"/>
        </w:rPr>
        <w:drawing>
          <wp:inline distT="0" distB="0" distL="0" distR="0">
            <wp:extent cx="5777865" cy="7217410"/>
            <wp:effectExtent l="19050" t="0" r="0" b="0"/>
            <wp:docPr id="6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5"/>
                    <pic:cNvPicPr>
                      <a:picLocks noChangeAspect="1" noChangeArrowheads="1"/>
                    </pic:cNvPicPr>
                  </pic:nvPicPr>
                  <pic:blipFill>
                    <a:blip r:embed="rId4"/>
                    <a:srcRect/>
                    <a:stretch>
                      <a:fillRect/>
                    </a:stretch>
                  </pic:blipFill>
                  <pic:spPr>
                    <a:xfrm>
                      <a:off x="0" y="0"/>
                      <a:ext cx="5783211" cy="7223986"/>
                    </a:xfrm>
                    <a:prstGeom prst="rect">
                      <a:avLst/>
                    </a:prstGeom>
                    <a:noFill/>
                    <a:ln w="9525">
                      <a:noFill/>
                      <a:miter lim="800000"/>
                      <a:headEnd/>
                      <a:tailEnd/>
                    </a:ln>
                  </pic:spPr>
                </pic:pic>
              </a:graphicData>
            </a:graphic>
          </wp:inline>
        </w:drawing>
      </w:r>
    </w:p>
    <w:p w14:paraId="698332CF">
      <w:pPr>
        <w:spacing w:after="156" w:afterLines="50" w:line="360" w:lineRule="auto"/>
        <w:jc w:val="center"/>
        <w:rPr>
          <w:b/>
          <w:sz w:val="24"/>
        </w:rPr>
      </w:pPr>
      <w:r>
        <w:rPr>
          <w:rFonts w:hint="eastAsia"/>
          <w:b/>
          <w:sz w:val="24"/>
        </w:rPr>
        <w:t>一类区</w:t>
      </w:r>
    </w:p>
    <w:p w14:paraId="453F1F1B">
      <w:pPr>
        <w:spacing w:after="156" w:afterLines="50" w:line="360" w:lineRule="auto"/>
        <w:jc w:val="center"/>
        <w:rPr>
          <w:b/>
          <w:sz w:val="24"/>
        </w:rPr>
      </w:pPr>
      <w:r>
        <w:rPr>
          <w:b/>
          <w:sz w:val="24"/>
        </w:rPr>
        <w:drawing>
          <wp:inline distT="0" distB="0" distL="0" distR="0">
            <wp:extent cx="5999480" cy="7411085"/>
            <wp:effectExtent l="19050" t="0" r="739" b="0"/>
            <wp:docPr id="6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6"/>
                    <pic:cNvPicPr>
                      <a:picLocks noChangeAspect="1" noChangeArrowheads="1"/>
                    </pic:cNvPicPr>
                  </pic:nvPicPr>
                  <pic:blipFill>
                    <a:blip r:embed="rId5"/>
                    <a:srcRect l="569"/>
                    <a:stretch>
                      <a:fillRect/>
                    </a:stretch>
                  </pic:blipFill>
                  <pic:spPr>
                    <a:xfrm>
                      <a:off x="0" y="0"/>
                      <a:ext cx="6001205" cy="7412990"/>
                    </a:xfrm>
                    <a:prstGeom prst="rect">
                      <a:avLst/>
                    </a:prstGeom>
                    <a:noFill/>
                    <a:ln w="9525">
                      <a:noFill/>
                      <a:miter lim="800000"/>
                      <a:headEnd/>
                      <a:tailEnd/>
                    </a:ln>
                  </pic:spPr>
                </pic:pic>
              </a:graphicData>
            </a:graphic>
          </wp:inline>
        </w:drawing>
      </w:r>
    </w:p>
    <w:p w14:paraId="5009680E">
      <w:pPr>
        <w:spacing w:after="156" w:afterLines="50" w:line="360" w:lineRule="auto"/>
        <w:jc w:val="center"/>
        <w:rPr>
          <w:b/>
          <w:sz w:val="24"/>
        </w:rPr>
      </w:pPr>
    </w:p>
    <w:p w14:paraId="57CE663F">
      <w:pPr>
        <w:spacing w:after="156" w:afterLines="50" w:line="360" w:lineRule="auto"/>
        <w:jc w:val="center"/>
        <w:rPr>
          <w:b/>
          <w:sz w:val="24"/>
        </w:rPr>
      </w:pPr>
    </w:p>
    <w:p w14:paraId="2C734ACF">
      <w:pPr>
        <w:spacing w:after="156" w:afterLines="50" w:line="360" w:lineRule="auto"/>
        <w:jc w:val="center"/>
        <w:rPr>
          <w:b/>
          <w:sz w:val="24"/>
        </w:rPr>
      </w:pPr>
      <w:r>
        <w:rPr>
          <w:rFonts w:hint="eastAsia"/>
          <w:b/>
          <w:sz w:val="24"/>
        </w:rPr>
        <w:t>二类区</w:t>
      </w:r>
    </w:p>
    <w:p w14:paraId="16B91137">
      <w:pPr>
        <w:spacing w:line="460" w:lineRule="atLeast"/>
        <w:jc w:val="center"/>
      </w:pPr>
      <w:r>
        <w:drawing>
          <wp:inline distT="0" distB="0" distL="0" distR="0">
            <wp:extent cx="4403090" cy="4341495"/>
            <wp:effectExtent l="19050" t="0" r="0" b="0"/>
            <wp:docPr id="63"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81"/>
                    <pic:cNvPicPr>
                      <a:picLocks noChangeAspect="1" noChangeArrowheads="1"/>
                    </pic:cNvPicPr>
                  </pic:nvPicPr>
                  <pic:blipFill>
                    <a:blip r:embed="rId6"/>
                    <a:srcRect/>
                    <a:stretch>
                      <a:fillRect/>
                    </a:stretch>
                  </pic:blipFill>
                  <pic:spPr>
                    <a:xfrm>
                      <a:off x="0" y="0"/>
                      <a:ext cx="4403090" cy="4341495"/>
                    </a:xfrm>
                    <a:prstGeom prst="rect">
                      <a:avLst/>
                    </a:prstGeom>
                    <a:noFill/>
                    <a:ln w="9525">
                      <a:noFill/>
                      <a:miter lim="800000"/>
                      <a:headEnd/>
                      <a:tailEnd/>
                    </a:ln>
                  </pic:spPr>
                </pic:pic>
              </a:graphicData>
            </a:graphic>
          </wp:inline>
        </w:drawing>
      </w:r>
    </w:p>
    <w:p w14:paraId="6F5AD99C">
      <w:pPr>
        <w:spacing w:line="460" w:lineRule="atLeast"/>
        <w:jc w:val="center"/>
      </w:pPr>
      <w:r>
        <w:drawing>
          <wp:inline distT="0" distB="0" distL="0" distR="0">
            <wp:extent cx="4491990" cy="3826510"/>
            <wp:effectExtent l="19050" t="0" r="3810" b="0"/>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noChangeArrowheads="1"/>
                    </pic:cNvPicPr>
                  </pic:nvPicPr>
                  <pic:blipFill>
                    <a:blip r:embed="rId7"/>
                    <a:srcRect/>
                    <a:stretch>
                      <a:fillRect/>
                    </a:stretch>
                  </pic:blipFill>
                  <pic:spPr>
                    <a:xfrm>
                      <a:off x="0" y="0"/>
                      <a:ext cx="4491990" cy="3826510"/>
                    </a:xfrm>
                    <a:prstGeom prst="rect">
                      <a:avLst/>
                    </a:prstGeom>
                    <a:noFill/>
                    <a:ln w="9525">
                      <a:noFill/>
                      <a:miter lim="800000"/>
                      <a:headEnd/>
                      <a:tailEnd/>
                    </a:ln>
                  </pic:spPr>
                </pic:pic>
              </a:graphicData>
            </a:graphic>
          </wp:inline>
        </w:drawing>
      </w:r>
    </w:p>
    <w:p w14:paraId="1AD52BE2">
      <w:pPr>
        <w:spacing w:line="460" w:lineRule="atLeast"/>
        <w:jc w:val="center"/>
      </w:pPr>
      <w:r>
        <w:drawing>
          <wp:inline distT="0" distB="0" distL="0" distR="0">
            <wp:extent cx="4483100" cy="4288155"/>
            <wp:effectExtent l="19050" t="0" r="0" b="0"/>
            <wp:docPr id="6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9"/>
                    <pic:cNvPicPr>
                      <a:picLocks noChangeAspect="1" noChangeArrowheads="1"/>
                    </pic:cNvPicPr>
                  </pic:nvPicPr>
                  <pic:blipFill>
                    <a:blip r:embed="rId8"/>
                    <a:srcRect/>
                    <a:stretch>
                      <a:fillRect/>
                    </a:stretch>
                  </pic:blipFill>
                  <pic:spPr>
                    <a:xfrm>
                      <a:off x="0" y="0"/>
                      <a:ext cx="4483100" cy="4288155"/>
                    </a:xfrm>
                    <a:prstGeom prst="rect">
                      <a:avLst/>
                    </a:prstGeom>
                    <a:noFill/>
                    <a:ln w="9525">
                      <a:noFill/>
                      <a:miter lim="800000"/>
                      <a:headEnd/>
                      <a:tailEnd/>
                    </a:ln>
                  </pic:spPr>
                </pic:pic>
              </a:graphicData>
            </a:graphic>
          </wp:inline>
        </w:drawing>
      </w:r>
    </w:p>
    <w:p w14:paraId="3A6E548B">
      <w:pPr>
        <w:spacing w:line="460" w:lineRule="atLeast"/>
        <w:jc w:val="center"/>
      </w:pPr>
    </w:p>
    <w:p w14:paraId="05AA3F21">
      <w:pPr>
        <w:spacing w:line="460" w:lineRule="atLeast"/>
        <w:jc w:val="center"/>
        <w:rPr>
          <w:rFonts w:eastAsia="方正仿宋_GBK"/>
          <w:sz w:val="32"/>
          <w:szCs w:val="32"/>
        </w:rPr>
      </w:pPr>
      <w:r>
        <w:drawing>
          <wp:inline distT="0" distB="0" distL="0" distR="0">
            <wp:extent cx="4500880" cy="3782060"/>
            <wp:effectExtent l="19050" t="0" r="0" b="0"/>
            <wp:docPr id="6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2"/>
                    <pic:cNvPicPr>
                      <a:picLocks noChangeAspect="1" noChangeArrowheads="1"/>
                    </pic:cNvPicPr>
                  </pic:nvPicPr>
                  <pic:blipFill>
                    <a:blip r:embed="rId9"/>
                    <a:srcRect/>
                    <a:stretch>
                      <a:fillRect/>
                    </a:stretch>
                  </pic:blipFill>
                  <pic:spPr>
                    <a:xfrm>
                      <a:off x="0" y="0"/>
                      <a:ext cx="4500880" cy="3782060"/>
                    </a:xfrm>
                    <a:prstGeom prst="rect">
                      <a:avLst/>
                    </a:prstGeom>
                    <a:noFill/>
                    <a:ln w="9525">
                      <a:noFill/>
                      <a:miter lim="800000"/>
                      <a:headEnd/>
                      <a:tailEnd/>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仿宋简体">
    <w:altName w:val="微软雅黑"/>
    <w:panose1 w:val="00000000000000000000"/>
    <w:charset w:val="86"/>
    <w:family w:val="script"/>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方正黑体_GBK">
    <w:altName w:val="微软雅黑"/>
    <w:panose1 w:val="00000000000000000000"/>
    <w:charset w:val="86"/>
    <w:family w:val="script"/>
    <w:pitch w:val="default"/>
    <w:sig w:usb0="00000000" w:usb1="00000000" w:usb2="0000001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方正仿宋_GBK">
    <w:altName w:val="微软雅黑"/>
    <w:panose1 w:val="00000000000000000000"/>
    <w:charset w:val="86"/>
    <w:family w:val="script"/>
    <w:pitch w:val="default"/>
    <w:sig w:usb0="00000000" w:usb1="00000000" w:usb2="00000010" w:usb3="00000000" w:csb0="00040000" w:csb1="00000000"/>
  </w:font>
  <w:font w:name="Cambria Math">
    <w:panose1 w:val="02040503050406030204"/>
    <w:charset w:val="00"/>
    <w:family w:val="roman"/>
    <w:pitch w:val="default"/>
    <w:sig w:usb0="E00006FF" w:usb1="420024FF" w:usb2="02000000" w:usb3="00000000" w:csb0="2000019F" w:csb1="00000000"/>
  </w:font>
  <w:font w:name="方正书宋_GBK">
    <w:altName w:val="微软雅黑"/>
    <w:panose1 w:val="00000000000000000000"/>
    <w:charset w:val="86"/>
    <w:family w:val="script"/>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NjY2I1NzQyM2MyZmEwNGY4YzdhM2I0MmM2NjdmNjUifQ=="/>
  </w:docVars>
  <w:rsids>
    <w:rsidRoot w:val="00747725"/>
    <w:rsid w:val="00152B9C"/>
    <w:rsid w:val="00747725"/>
    <w:rsid w:val="00A45C6A"/>
    <w:rsid w:val="0F113B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方正仿宋简体" w:cs="Times New Roman"/>
      <w:kern w:val="2"/>
      <w:sz w:val="30"/>
      <w:szCs w:val="20"/>
      <w:lang w:val="en-US" w:eastAsia="zh-CN" w:bidi="ar-SA"/>
    </w:rPr>
  </w:style>
  <w:style w:type="character" w:default="1" w:styleId="7">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semiHidden/>
    <w:unhideWhenUsed/>
    <w:uiPriority w:val="99"/>
    <w:rPr>
      <w:sz w:val="18"/>
      <w:szCs w:val="18"/>
    </w:rPr>
  </w:style>
  <w:style w:type="paragraph" w:styleId="3">
    <w:name w:val="footer"/>
    <w:basedOn w:val="1"/>
    <w:link w:val="10"/>
    <w:unhideWhenUsed/>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5">
    <w:name w:val="Normal (Web)"/>
    <w:basedOn w:val="1"/>
    <w:qFormat/>
    <w:uiPriority w:val="0"/>
    <w:pPr>
      <w:widowControl/>
      <w:spacing w:before="100" w:beforeAutospacing="1" w:after="100" w:afterAutospacing="1"/>
      <w:jc w:val="left"/>
    </w:pPr>
    <w:rPr>
      <w:rFonts w:ascii="Arial Unicode MS" w:hAnsi="Arial Unicode MS" w:eastAsia="Times New Roman"/>
      <w:kern w:val="0"/>
      <w:sz w:val="24"/>
      <w:szCs w:val="24"/>
    </w:rPr>
  </w:style>
  <w:style w:type="character" w:styleId="8">
    <w:name w:val="Strong"/>
    <w:qFormat/>
    <w:uiPriority w:val="22"/>
    <w:rPr>
      <w:rFonts w:cs="Times New Roman"/>
      <w:b/>
      <w:bCs/>
    </w:rPr>
  </w:style>
  <w:style w:type="character" w:customStyle="1" w:styleId="9">
    <w:name w:val="页眉 Char"/>
    <w:basedOn w:val="7"/>
    <w:link w:val="4"/>
    <w:uiPriority w:val="99"/>
    <w:rPr>
      <w:sz w:val="18"/>
      <w:szCs w:val="18"/>
    </w:rPr>
  </w:style>
  <w:style w:type="character" w:customStyle="1" w:styleId="10">
    <w:name w:val="页脚 Char"/>
    <w:basedOn w:val="7"/>
    <w:link w:val="3"/>
    <w:uiPriority w:val="99"/>
    <w:rPr>
      <w:sz w:val="18"/>
      <w:szCs w:val="18"/>
    </w:rPr>
  </w:style>
  <w:style w:type="character" w:customStyle="1" w:styleId="11">
    <w:name w:val="批注框文本 Char"/>
    <w:basedOn w:val="7"/>
    <w:link w:val="2"/>
    <w:semiHidden/>
    <w:qFormat/>
    <w:uiPriority w:val="99"/>
    <w:rPr>
      <w:rFonts w:ascii="Times New Roman" w:hAnsi="Times New Roman" w:eastAsia="方正仿宋简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23</Pages>
  <Words>2699</Words>
  <Characters>2767</Characters>
  <Lines>66</Lines>
  <Paragraphs>18</Paragraphs>
  <TotalTime>7</TotalTime>
  <ScaleCrop>false</ScaleCrop>
  <LinksUpToDate>false</LinksUpToDate>
  <CharactersWithSpaces>2781</CharactersWithSpaces>
  <Application>WPS Office_12.1.0.18543_F1E327BC-269C-435d-A152-05C5408002CA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2019-10-28T02:26:00Z</dcterms:created>
  <dc:creator>zfwmoban</dc:creator>
  <cp:lastModifiedBy>木诚 </cp:lastModifiedBy>
  <dcterms:modified xsi:type="dcterms:W3CDTF">2024-09-25T09:27:58Z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2052-12.1.0.18543</vt:lpwstr>
  </property>
  <property fmtid="{D5CDD505-2E9C-101B-9397-08002B2CF9AE}" pid="3" name="ICV">
    <vt:lpwstr>65517410552C4978913372555EFEC0B9_12</vt:lpwstr>
  </property>
</Properties>
</file>